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258C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56"/>
          <w:szCs w:val="72"/>
        </w:rPr>
      </w:pPr>
      <w:r>
        <w:rPr>
          <w:rFonts w:hint="eastAsia"/>
          <w:b/>
          <w:bCs/>
          <w:sz w:val="56"/>
          <w:szCs w:val="72"/>
          <w:lang w:val="en-US" w:eastAsia="zh-CN"/>
        </w:rPr>
        <w:t>长江产业集团阳光电子采购平台</w:t>
      </w:r>
    </w:p>
    <w:p w14:paraId="3C9A00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240" w:line="360" w:lineRule="auto"/>
        <w:jc w:val="center"/>
        <w:textAlignment w:val="auto"/>
        <w:rPr>
          <w:b/>
          <w:sz w:val="48"/>
          <w:szCs w:val="48"/>
        </w:rPr>
      </w:pPr>
    </w:p>
    <w:p w14:paraId="55948F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黑体" w:hAnsi="黑体" w:eastAsia="黑体"/>
          <w:b/>
          <w:color w:val="000000"/>
          <w:sz w:val="52"/>
          <w:szCs w:val="52"/>
        </w:rPr>
      </w:pPr>
      <w:r>
        <w:rPr>
          <w:rFonts w:hint="eastAsia" w:ascii="黑体" w:hAnsi="黑体" w:eastAsia="黑体"/>
          <w:b/>
          <w:color w:val="000000"/>
          <w:sz w:val="52"/>
          <w:szCs w:val="52"/>
        </w:rPr>
        <w:t>标准版</w:t>
      </w:r>
    </w:p>
    <w:p w14:paraId="7588B6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黑体" w:hAnsi="黑体" w:eastAsia="黑体"/>
          <w:b/>
          <w:color w:val="000000"/>
          <w:sz w:val="72"/>
          <w:szCs w:val="72"/>
        </w:rPr>
      </w:pPr>
      <w:r>
        <w:rPr>
          <w:rFonts w:hint="eastAsia" w:ascii="黑体" w:hAnsi="黑体" w:eastAsia="黑体"/>
          <w:b/>
          <w:color w:val="000000"/>
          <w:sz w:val="72"/>
          <w:szCs w:val="72"/>
        </w:rPr>
        <w:t>操作手册</w:t>
      </w:r>
    </w:p>
    <w:p w14:paraId="78650914">
      <w:pPr>
        <w:jc w:val="center"/>
        <w:rPr>
          <w:rFonts w:ascii="黑体" w:hAnsi="黑体" w:eastAsia="黑体"/>
          <w:b/>
          <w:color w:val="000000"/>
          <w:sz w:val="40"/>
          <w:szCs w:val="40"/>
        </w:rPr>
      </w:pPr>
      <w:bookmarkStart w:id="0" w:name="_Hlk483665633"/>
      <w:r>
        <w:rPr>
          <w:rFonts w:hint="eastAsia" w:ascii="黑体" w:hAnsi="黑体" w:eastAsia="黑体"/>
          <w:b/>
          <w:color w:val="000000"/>
          <w:sz w:val="40"/>
          <w:szCs w:val="40"/>
        </w:rPr>
        <w:t>（</w:t>
      </w:r>
      <w:r>
        <w:rPr>
          <w:rFonts w:hint="eastAsia" w:ascii="黑体" w:hAnsi="黑体" w:eastAsia="黑体"/>
          <w:b/>
          <w:color w:val="000000"/>
          <w:sz w:val="40"/>
          <w:szCs w:val="40"/>
          <w:lang w:val="en-US" w:eastAsia="zh-CN"/>
        </w:rPr>
        <w:t>供应商操作手册</w:t>
      </w:r>
      <w:r>
        <w:rPr>
          <w:rFonts w:hint="eastAsia" w:ascii="黑体" w:hAnsi="黑体" w:eastAsia="黑体"/>
          <w:b/>
          <w:color w:val="000000"/>
          <w:sz w:val="40"/>
          <w:szCs w:val="40"/>
        </w:rPr>
        <w:t>）</w:t>
      </w:r>
    </w:p>
    <w:bookmarkEnd w:id="0"/>
    <w:p w14:paraId="7F613E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黑体" w:hAnsi="黑体" w:eastAsia="黑体"/>
          <w:b/>
          <w:color w:val="000000"/>
          <w:sz w:val="72"/>
          <w:szCs w:val="72"/>
        </w:rPr>
      </w:pPr>
    </w:p>
    <w:p w14:paraId="20962D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黑体" w:hAnsi="黑体" w:eastAsia="黑体"/>
          <w:b/>
          <w:color w:val="000000"/>
          <w:sz w:val="40"/>
          <w:szCs w:val="40"/>
        </w:rPr>
      </w:pPr>
    </w:p>
    <w:tbl>
      <w:tblPr>
        <w:tblStyle w:val="15"/>
        <w:tblW w:w="702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4"/>
        <w:gridCol w:w="1404"/>
        <w:gridCol w:w="1404"/>
        <w:gridCol w:w="1404"/>
        <w:gridCol w:w="1405"/>
      </w:tblGrid>
      <w:tr w14:paraId="1943E6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04" w:type="dxa"/>
            <w:noWrap w:val="0"/>
            <w:vAlign w:val="center"/>
          </w:tcPr>
          <w:p w14:paraId="0A14F6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版本号</w:t>
            </w:r>
          </w:p>
        </w:tc>
        <w:tc>
          <w:tcPr>
            <w:tcW w:w="5617" w:type="dxa"/>
            <w:gridSpan w:val="4"/>
            <w:noWrap w:val="0"/>
            <w:vAlign w:val="center"/>
          </w:tcPr>
          <w:p w14:paraId="16BDCD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ascii="仿宋" w:hAnsi="仿宋"/>
                <w:color w:val="000000"/>
                <w:sz w:val="28"/>
                <w:szCs w:val="28"/>
              </w:rPr>
              <w:t>1</w:t>
            </w:r>
            <w:r>
              <w:rPr>
                <w:rFonts w:hint="eastAsia" w:ascii="仿宋" w:hAnsi="仿宋"/>
                <w:color w:val="000000"/>
                <w:sz w:val="28"/>
                <w:szCs w:val="28"/>
              </w:rPr>
              <w:t>.0</w:t>
            </w:r>
          </w:p>
        </w:tc>
      </w:tr>
      <w:tr w14:paraId="695151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04" w:type="dxa"/>
            <w:shd w:val="clear" w:color="auto" w:fill="auto"/>
            <w:noWrap w:val="0"/>
            <w:vAlign w:val="center"/>
          </w:tcPr>
          <w:p w14:paraId="371206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保密级别</w:t>
            </w:r>
          </w:p>
        </w:tc>
        <w:tc>
          <w:tcPr>
            <w:tcW w:w="1404" w:type="dxa"/>
            <w:shd w:val="clear" w:color="auto" w:fill="auto"/>
            <w:noWrap w:val="0"/>
            <w:vAlign w:val="center"/>
          </w:tcPr>
          <w:p w14:paraId="208F95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一般</w:t>
            </w:r>
          </w:p>
        </w:tc>
        <w:tc>
          <w:tcPr>
            <w:tcW w:w="1404" w:type="dxa"/>
            <w:shd w:val="clear" w:color="auto" w:fill="auto"/>
            <w:noWrap w:val="0"/>
            <w:vAlign w:val="center"/>
          </w:tcPr>
          <w:p w14:paraId="68FC4E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内部公开</w:t>
            </w:r>
          </w:p>
        </w:tc>
        <w:tc>
          <w:tcPr>
            <w:tcW w:w="1404" w:type="dxa"/>
            <w:shd w:val="clear" w:color="auto" w:fill="A6A6A6"/>
            <w:noWrap w:val="0"/>
            <w:vAlign w:val="center"/>
          </w:tcPr>
          <w:p w14:paraId="0EB622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涉密等级</w:t>
            </w:r>
          </w:p>
        </w:tc>
        <w:tc>
          <w:tcPr>
            <w:tcW w:w="1405" w:type="dxa"/>
            <w:noWrap w:val="0"/>
            <w:vAlign w:val="center"/>
          </w:tcPr>
          <w:p w14:paraId="71E646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秘密</w:t>
            </w:r>
          </w:p>
        </w:tc>
      </w:tr>
    </w:tbl>
    <w:p w14:paraId="3E7D6B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仿宋" w:hAnsi="仿宋"/>
          <w:bCs/>
          <w:color w:val="000000"/>
          <w:sz w:val="36"/>
          <w:szCs w:val="36"/>
        </w:rPr>
      </w:pPr>
    </w:p>
    <w:p w14:paraId="1D1AA5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仿宋" w:hAnsi="仿宋"/>
          <w:bCs/>
          <w:color w:val="000000"/>
          <w:sz w:val="36"/>
          <w:szCs w:val="36"/>
        </w:rPr>
      </w:pPr>
    </w:p>
    <w:p w14:paraId="5F9098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" w:hAnsi="仿宋"/>
          <w:bCs/>
          <w:color w:val="000000"/>
          <w:sz w:val="36"/>
          <w:szCs w:val="36"/>
        </w:rPr>
      </w:pPr>
    </w:p>
    <w:p w14:paraId="5224F2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" w:hAnsi="仿宋"/>
          <w:bCs/>
          <w:color w:val="000000"/>
          <w:sz w:val="36"/>
          <w:szCs w:val="36"/>
        </w:rPr>
      </w:pPr>
    </w:p>
    <w:p w14:paraId="3A9AC2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/>
          <w:bCs/>
          <w:color w:val="000000"/>
          <w:sz w:val="36"/>
          <w:szCs w:val="36"/>
        </w:rPr>
      </w:pPr>
    </w:p>
    <w:p w14:paraId="05135A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/>
          <w:bCs/>
          <w:color w:val="000000"/>
          <w:sz w:val="36"/>
          <w:szCs w:val="36"/>
        </w:rPr>
      </w:pPr>
    </w:p>
    <w:p w14:paraId="6B2376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/>
          <w:bCs/>
          <w:color w:val="000000"/>
          <w:sz w:val="36"/>
          <w:szCs w:val="36"/>
        </w:rPr>
      </w:pPr>
    </w:p>
    <w:p w14:paraId="754ED6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/>
          <w:bCs/>
          <w:color w:val="000000"/>
          <w:sz w:val="36"/>
          <w:szCs w:val="36"/>
        </w:rPr>
      </w:pPr>
    </w:p>
    <w:p w14:paraId="15FB33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/>
          <w:bCs/>
          <w:color w:val="000000"/>
          <w:sz w:val="36"/>
          <w:szCs w:val="36"/>
        </w:rPr>
      </w:pPr>
    </w:p>
    <w:p w14:paraId="623982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仿宋" w:hAnsi="仿宋"/>
          <w:bCs/>
          <w:color w:val="000000"/>
          <w:sz w:val="36"/>
          <w:szCs w:val="36"/>
        </w:rPr>
      </w:pPr>
      <w:r>
        <w:rPr>
          <w:rFonts w:hint="eastAsia" w:ascii="仿宋" w:hAnsi="仿宋"/>
          <w:bCs/>
          <w:color w:val="000000"/>
          <w:sz w:val="36"/>
          <w:szCs w:val="36"/>
        </w:rPr>
        <w:t>202</w:t>
      </w:r>
      <w:r>
        <w:rPr>
          <w:rFonts w:hint="eastAsia" w:ascii="仿宋" w:hAnsi="仿宋"/>
          <w:bCs/>
          <w:color w:val="000000"/>
          <w:sz w:val="36"/>
          <w:szCs w:val="36"/>
          <w:lang w:val="en-US" w:eastAsia="zh-CN"/>
        </w:rPr>
        <w:t>4</w:t>
      </w:r>
      <w:r>
        <w:rPr>
          <w:rFonts w:hint="eastAsia" w:ascii="仿宋" w:hAnsi="仿宋"/>
          <w:bCs/>
          <w:color w:val="000000"/>
          <w:sz w:val="36"/>
          <w:szCs w:val="36"/>
        </w:rPr>
        <w:t>年1</w:t>
      </w:r>
      <w:r>
        <w:rPr>
          <w:rFonts w:hint="eastAsia" w:ascii="仿宋" w:hAnsi="仿宋"/>
          <w:bCs/>
          <w:color w:val="000000"/>
          <w:sz w:val="36"/>
          <w:szCs w:val="36"/>
          <w:lang w:val="en-US" w:eastAsia="zh-CN"/>
        </w:rPr>
        <w:t>2</w:t>
      </w:r>
      <w:r>
        <w:rPr>
          <w:rFonts w:hint="eastAsia" w:ascii="仿宋" w:hAnsi="仿宋"/>
          <w:bCs/>
          <w:color w:val="000000"/>
          <w:sz w:val="36"/>
          <w:szCs w:val="36"/>
        </w:rPr>
        <w:t>月</w:t>
      </w:r>
    </w:p>
    <w:p w14:paraId="570CE25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</w:pPr>
      <w:r>
        <w:br w:type="page"/>
      </w:r>
    </w:p>
    <w:p w14:paraId="2A585F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8"/>
          <w:szCs w:val="28"/>
        </w:rPr>
      </w:pPr>
      <w:r>
        <w:rPr>
          <w:sz w:val="28"/>
          <w:szCs w:val="28"/>
        </w:rPr>
        <w:t>修订记录</w:t>
      </w:r>
    </w:p>
    <w:tbl>
      <w:tblPr>
        <w:tblStyle w:val="1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2242"/>
        <w:gridCol w:w="1160"/>
        <w:gridCol w:w="1560"/>
        <w:gridCol w:w="1751"/>
      </w:tblGrid>
      <w:tr w14:paraId="4D885F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E0E0E0"/>
            <w:noWrap w:val="0"/>
            <w:vAlign w:val="top"/>
          </w:tcPr>
          <w:p w14:paraId="1E95D106">
            <w:pPr>
              <w:pStyle w:val="14"/>
              <w:spacing w:before="20" w:after="20" w:line="360" w:lineRule="auto"/>
              <w:rPr>
                <w:rFonts w:ascii="仿宋" w:hAnsi="仿宋" w:eastAsia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日期</w:t>
            </w:r>
          </w:p>
        </w:tc>
        <w:tc>
          <w:tcPr>
            <w:tcW w:w="2242" w:type="dxa"/>
            <w:shd w:val="clear" w:color="auto" w:fill="E0E0E0"/>
            <w:noWrap w:val="0"/>
            <w:vAlign w:val="top"/>
          </w:tcPr>
          <w:p w14:paraId="70315B26">
            <w:pPr>
              <w:pStyle w:val="14"/>
              <w:spacing w:before="20" w:after="20" w:line="360" w:lineRule="auto"/>
              <w:rPr>
                <w:rFonts w:ascii="仿宋" w:hAnsi="仿宋" w:eastAsia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作者</w:t>
            </w:r>
          </w:p>
        </w:tc>
        <w:tc>
          <w:tcPr>
            <w:tcW w:w="1160" w:type="dxa"/>
            <w:shd w:val="clear" w:color="auto" w:fill="E0E0E0"/>
            <w:noWrap w:val="0"/>
            <w:vAlign w:val="top"/>
          </w:tcPr>
          <w:p w14:paraId="3E4F1D04">
            <w:pPr>
              <w:pStyle w:val="14"/>
              <w:spacing w:before="20" w:after="20" w:line="360" w:lineRule="auto"/>
              <w:rPr>
                <w:rFonts w:ascii="仿宋" w:hAnsi="仿宋" w:eastAsia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版本</w:t>
            </w:r>
          </w:p>
        </w:tc>
        <w:tc>
          <w:tcPr>
            <w:tcW w:w="1560" w:type="dxa"/>
            <w:shd w:val="clear" w:color="auto" w:fill="E0E0E0"/>
            <w:noWrap w:val="0"/>
            <w:vAlign w:val="top"/>
          </w:tcPr>
          <w:p w14:paraId="2C81A973">
            <w:pPr>
              <w:pStyle w:val="14"/>
              <w:spacing w:before="20" w:after="20" w:line="360" w:lineRule="auto"/>
              <w:rPr>
                <w:rFonts w:ascii="仿宋" w:hAnsi="仿宋" w:eastAsia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修改原因</w:t>
            </w:r>
          </w:p>
        </w:tc>
        <w:tc>
          <w:tcPr>
            <w:tcW w:w="1751" w:type="dxa"/>
            <w:shd w:val="clear" w:color="auto" w:fill="E0E0E0"/>
            <w:noWrap w:val="0"/>
            <w:vAlign w:val="top"/>
          </w:tcPr>
          <w:p w14:paraId="619EBEE3">
            <w:pPr>
              <w:pStyle w:val="14"/>
              <w:spacing w:before="20" w:after="20" w:line="360" w:lineRule="auto"/>
              <w:rPr>
                <w:rFonts w:ascii="仿宋" w:hAnsi="仿宋" w:eastAsia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主要修改内容</w:t>
            </w:r>
          </w:p>
        </w:tc>
      </w:tr>
      <w:tr w14:paraId="2AE41C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1809" w:type="dxa"/>
            <w:noWrap w:val="0"/>
            <w:vAlign w:val="center"/>
          </w:tcPr>
          <w:p w14:paraId="45F2D89D">
            <w:pPr>
              <w:pStyle w:val="14"/>
              <w:spacing w:before="20" w:after="20" w:line="360" w:lineRule="auto"/>
              <w:jc w:val="center"/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202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.1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.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2242" w:type="dxa"/>
            <w:noWrap w:val="0"/>
            <w:vAlign w:val="center"/>
          </w:tcPr>
          <w:p w14:paraId="1A39BB81">
            <w:pPr>
              <w:pStyle w:val="14"/>
              <w:spacing w:before="20" w:after="20" w:line="360" w:lineRule="auto"/>
              <w:jc w:val="center"/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易文</w:t>
            </w:r>
          </w:p>
        </w:tc>
        <w:tc>
          <w:tcPr>
            <w:tcW w:w="1160" w:type="dxa"/>
            <w:noWrap w:val="0"/>
            <w:vAlign w:val="center"/>
          </w:tcPr>
          <w:p w14:paraId="58C3170B">
            <w:pPr>
              <w:pStyle w:val="14"/>
              <w:spacing w:before="20" w:after="20" w:line="360" w:lineRule="auto"/>
              <w:jc w:val="center"/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V1.0</w:t>
            </w:r>
          </w:p>
        </w:tc>
        <w:tc>
          <w:tcPr>
            <w:tcW w:w="1560" w:type="dxa"/>
            <w:noWrap w:val="0"/>
            <w:vAlign w:val="center"/>
          </w:tcPr>
          <w:p w14:paraId="21B9A941">
            <w:pPr>
              <w:pStyle w:val="14"/>
              <w:spacing w:before="20" w:after="20" w:line="360" w:lineRule="auto"/>
              <w:jc w:val="center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noWrap w:val="0"/>
            <w:vAlign w:val="center"/>
          </w:tcPr>
          <w:p w14:paraId="4C211B5B">
            <w:pPr>
              <w:pStyle w:val="14"/>
              <w:spacing w:before="20" w:after="20" w:line="360" w:lineRule="auto"/>
              <w:jc w:val="center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6DE847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auto"/>
            <w:noWrap w:val="0"/>
            <w:vAlign w:val="center"/>
          </w:tcPr>
          <w:p w14:paraId="7EB05A3C">
            <w:pPr>
              <w:pStyle w:val="14"/>
              <w:spacing w:before="20" w:after="20" w:line="360" w:lineRule="auto"/>
              <w:jc w:val="center"/>
              <w:rPr>
                <w:rFonts w:hint="default" w:ascii="仿宋" w:hAnsi="仿宋" w:eastAsia="仿宋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202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.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.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2242" w:type="dxa"/>
            <w:shd w:val="clear" w:color="auto" w:fill="auto"/>
            <w:noWrap w:val="0"/>
            <w:vAlign w:val="center"/>
          </w:tcPr>
          <w:p w14:paraId="3934A85C">
            <w:pPr>
              <w:pStyle w:val="14"/>
              <w:spacing w:before="20" w:after="20" w:line="360" w:lineRule="auto"/>
              <w:jc w:val="center"/>
              <w:rPr>
                <w:rFonts w:hint="eastAsia" w:ascii="仿宋" w:hAnsi="仿宋" w:eastAsia="仿宋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易文</w:t>
            </w:r>
          </w:p>
        </w:tc>
        <w:tc>
          <w:tcPr>
            <w:tcW w:w="1160" w:type="dxa"/>
            <w:shd w:val="clear" w:color="auto" w:fill="auto"/>
            <w:noWrap w:val="0"/>
            <w:vAlign w:val="center"/>
          </w:tcPr>
          <w:p w14:paraId="23C92A9F">
            <w:pPr>
              <w:pStyle w:val="14"/>
              <w:spacing w:before="20" w:after="20" w:line="360" w:lineRule="auto"/>
              <w:jc w:val="center"/>
              <w:rPr>
                <w:rFonts w:hint="eastAsia" w:ascii="仿宋" w:hAnsi="仿宋" w:eastAsia="仿宋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V1.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560" w:type="dxa"/>
            <w:noWrap w:val="0"/>
            <w:vAlign w:val="top"/>
          </w:tcPr>
          <w:p w14:paraId="7989C224">
            <w:pPr>
              <w:pStyle w:val="14"/>
              <w:spacing w:before="20" w:after="20" w:line="360" w:lineRule="auto"/>
              <w:rPr>
                <w:rFonts w:hint="default" w:ascii="仿宋" w:hAnsi="仿宋" w:eastAsia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新增CA模块内容</w:t>
            </w:r>
          </w:p>
        </w:tc>
        <w:tc>
          <w:tcPr>
            <w:tcW w:w="1751" w:type="dxa"/>
            <w:noWrap w:val="0"/>
            <w:vAlign w:val="top"/>
          </w:tcPr>
          <w:p w14:paraId="60B12400">
            <w:pPr>
              <w:pStyle w:val="14"/>
              <w:spacing w:before="20" w:after="20" w:line="360" w:lineRule="auto"/>
              <w:rPr>
                <w:rFonts w:hint="default" w:ascii="仿宋" w:hAnsi="仿宋" w:eastAsia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新增CA模块内容</w:t>
            </w:r>
          </w:p>
        </w:tc>
      </w:tr>
      <w:tr w14:paraId="552FD8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noWrap w:val="0"/>
            <w:vAlign w:val="top"/>
          </w:tcPr>
          <w:p w14:paraId="2D66909F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 w14:paraId="6931BBFC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160" w:type="dxa"/>
            <w:noWrap w:val="0"/>
            <w:vAlign w:val="top"/>
          </w:tcPr>
          <w:p w14:paraId="14C35341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noWrap w:val="0"/>
            <w:vAlign w:val="top"/>
          </w:tcPr>
          <w:p w14:paraId="75FE3821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noWrap w:val="0"/>
            <w:vAlign w:val="top"/>
          </w:tcPr>
          <w:p w14:paraId="7327E509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0E1540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noWrap w:val="0"/>
            <w:vAlign w:val="top"/>
          </w:tcPr>
          <w:p w14:paraId="27AF593C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 w14:paraId="0BB4F52F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160" w:type="dxa"/>
            <w:noWrap w:val="0"/>
            <w:vAlign w:val="top"/>
          </w:tcPr>
          <w:p w14:paraId="651F6484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noWrap w:val="0"/>
            <w:vAlign w:val="top"/>
          </w:tcPr>
          <w:p w14:paraId="05B8F452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noWrap w:val="0"/>
            <w:vAlign w:val="top"/>
          </w:tcPr>
          <w:p w14:paraId="48B17400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73AE41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noWrap w:val="0"/>
            <w:vAlign w:val="top"/>
          </w:tcPr>
          <w:p w14:paraId="58518FAC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 w14:paraId="285CF232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160" w:type="dxa"/>
            <w:noWrap w:val="0"/>
            <w:vAlign w:val="top"/>
          </w:tcPr>
          <w:p w14:paraId="43526478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noWrap w:val="0"/>
            <w:vAlign w:val="top"/>
          </w:tcPr>
          <w:p w14:paraId="17A3C2D3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noWrap w:val="0"/>
            <w:vAlign w:val="top"/>
          </w:tcPr>
          <w:p w14:paraId="2FD7F171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7F8C3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noWrap w:val="0"/>
            <w:vAlign w:val="top"/>
          </w:tcPr>
          <w:p w14:paraId="5C0D78F8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 w14:paraId="6BBD4C92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160" w:type="dxa"/>
            <w:noWrap w:val="0"/>
            <w:vAlign w:val="top"/>
          </w:tcPr>
          <w:p w14:paraId="415F050C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noWrap w:val="0"/>
            <w:vAlign w:val="top"/>
          </w:tcPr>
          <w:p w14:paraId="4E1DCC2E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noWrap w:val="0"/>
            <w:vAlign w:val="top"/>
          </w:tcPr>
          <w:p w14:paraId="10B36E5C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340203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noWrap w:val="0"/>
            <w:vAlign w:val="top"/>
          </w:tcPr>
          <w:p w14:paraId="084A7228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 w14:paraId="5BE9D7FA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160" w:type="dxa"/>
            <w:noWrap w:val="0"/>
            <w:vAlign w:val="top"/>
          </w:tcPr>
          <w:p w14:paraId="0AA7DFA9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noWrap w:val="0"/>
            <w:vAlign w:val="top"/>
          </w:tcPr>
          <w:p w14:paraId="6ECCE9E7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noWrap w:val="0"/>
            <w:vAlign w:val="top"/>
          </w:tcPr>
          <w:p w14:paraId="7D07B999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5613D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noWrap w:val="0"/>
            <w:vAlign w:val="top"/>
          </w:tcPr>
          <w:p w14:paraId="0A92BA9F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 w14:paraId="1F569A64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160" w:type="dxa"/>
            <w:noWrap w:val="0"/>
            <w:vAlign w:val="top"/>
          </w:tcPr>
          <w:p w14:paraId="649411EF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noWrap w:val="0"/>
            <w:vAlign w:val="top"/>
          </w:tcPr>
          <w:p w14:paraId="02767CFB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noWrap w:val="0"/>
            <w:vAlign w:val="top"/>
          </w:tcPr>
          <w:p w14:paraId="26D84691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28C822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noWrap w:val="0"/>
            <w:vAlign w:val="top"/>
          </w:tcPr>
          <w:p w14:paraId="0E5A4AA3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 w14:paraId="13ED91C4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160" w:type="dxa"/>
            <w:noWrap w:val="0"/>
            <w:vAlign w:val="top"/>
          </w:tcPr>
          <w:p w14:paraId="621BBFAE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noWrap w:val="0"/>
            <w:vAlign w:val="top"/>
          </w:tcPr>
          <w:p w14:paraId="0F94386D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noWrap w:val="0"/>
            <w:vAlign w:val="top"/>
          </w:tcPr>
          <w:p w14:paraId="7393FC08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1065A1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noWrap w:val="0"/>
            <w:vAlign w:val="top"/>
          </w:tcPr>
          <w:p w14:paraId="18584042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 w14:paraId="1EBEB3EB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160" w:type="dxa"/>
            <w:noWrap w:val="0"/>
            <w:vAlign w:val="top"/>
          </w:tcPr>
          <w:p w14:paraId="18D4D03D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noWrap w:val="0"/>
            <w:vAlign w:val="top"/>
          </w:tcPr>
          <w:p w14:paraId="7BC7459E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noWrap w:val="0"/>
            <w:vAlign w:val="top"/>
          </w:tcPr>
          <w:p w14:paraId="5A4315EC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56BC1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noWrap w:val="0"/>
            <w:vAlign w:val="top"/>
          </w:tcPr>
          <w:p w14:paraId="45E604D3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 w14:paraId="4348CD2F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160" w:type="dxa"/>
            <w:noWrap w:val="0"/>
            <w:vAlign w:val="top"/>
          </w:tcPr>
          <w:p w14:paraId="3F716A1A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noWrap w:val="0"/>
            <w:vAlign w:val="top"/>
          </w:tcPr>
          <w:p w14:paraId="264CFA3D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noWrap w:val="0"/>
            <w:vAlign w:val="top"/>
          </w:tcPr>
          <w:p w14:paraId="56BDF016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110326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noWrap w:val="0"/>
            <w:vAlign w:val="top"/>
          </w:tcPr>
          <w:p w14:paraId="6F02AA50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 w14:paraId="716F55AC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160" w:type="dxa"/>
            <w:noWrap w:val="0"/>
            <w:vAlign w:val="top"/>
          </w:tcPr>
          <w:p w14:paraId="459C37CB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noWrap w:val="0"/>
            <w:vAlign w:val="top"/>
          </w:tcPr>
          <w:p w14:paraId="725263A0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noWrap w:val="0"/>
            <w:vAlign w:val="top"/>
          </w:tcPr>
          <w:p w14:paraId="593C672B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199BEC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noWrap w:val="0"/>
            <w:vAlign w:val="top"/>
          </w:tcPr>
          <w:p w14:paraId="645ED627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 w14:paraId="0DD4DCE9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160" w:type="dxa"/>
            <w:noWrap w:val="0"/>
            <w:vAlign w:val="top"/>
          </w:tcPr>
          <w:p w14:paraId="62FAF368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noWrap w:val="0"/>
            <w:vAlign w:val="top"/>
          </w:tcPr>
          <w:p w14:paraId="6A0397B4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noWrap w:val="0"/>
            <w:vAlign w:val="top"/>
          </w:tcPr>
          <w:p w14:paraId="3D525410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2D5F7E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noWrap w:val="0"/>
            <w:vAlign w:val="top"/>
          </w:tcPr>
          <w:p w14:paraId="7EEE3B02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 w14:paraId="2A995254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160" w:type="dxa"/>
            <w:noWrap w:val="0"/>
            <w:vAlign w:val="top"/>
          </w:tcPr>
          <w:p w14:paraId="073D813E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noWrap w:val="0"/>
            <w:vAlign w:val="top"/>
          </w:tcPr>
          <w:p w14:paraId="4F20751C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noWrap w:val="0"/>
            <w:vAlign w:val="top"/>
          </w:tcPr>
          <w:p w14:paraId="4F14EE7B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</w:tbl>
    <w:p w14:paraId="79EDCA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62CE97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664204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410F30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3BD5E2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15EB5B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443109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089B3F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2E2D71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1EB51D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026B98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25F0A4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3ABC6F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3DB275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2300ED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38B3F2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sdt>
      <w:sdtPr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</w:rPr>
        <w:id w:val="147479742"/>
        <w15:color w:val="DBDBDB"/>
        <w:docPartObj>
          <w:docPartGallery w:val="Table of Contents"/>
          <w:docPartUnique/>
        </w:docPartObj>
      </w:sdtPr>
      <w:sdtEnd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sdtEndPr>
      <w:sdtContent>
        <w:p w14:paraId="126F14AE">
          <w:pPr>
            <w:keepNext w:val="0"/>
            <w:keepLines w:val="0"/>
            <w:pageBreakBefore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before="0" w:beforeLines="0" w:after="0" w:afterLines="0" w:line="360" w:lineRule="auto"/>
            <w:ind w:left="0" w:leftChars="0" w:right="0" w:rightChars="0" w:firstLine="0" w:firstLineChars="0"/>
            <w:jc w:val="center"/>
            <w:textAlignment w:val="auto"/>
          </w:pPr>
          <w:r>
            <w:rPr>
              <w:rFonts w:ascii="宋体" w:hAnsi="宋体" w:eastAsia="宋体"/>
              <w:sz w:val="21"/>
            </w:rPr>
            <w:t>目录</w:t>
          </w:r>
        </w:p>
        <w:p w14:paraId="152D6574">
          <w:pPr>
            <w:pStyle w:val="12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TOC \o "1-3" \h \u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_Toc4342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1. </w:t>
          </w:r>
          <w:r>
            <w:rPr>
              <w:rFonts w:hint="eastAsia"/>
              <w:lang w:val="en-US" w:eastAsia="zh-CN"/>
            </w:rPr>
            <w:t>用户注册</w:t>
          </w:r>
          <w:r>
            <w:tab/>
          </w:r>
          <w:r>
            <w:fldChar w:fldCharType="begin"/>
          </w:r>
          <w:r>
            <w:instrText xml:space="preserve"> PAGEREF _Toc4342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2EE0A325">
          <w:pPr>
            <w:pStyle w:val="12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_Toc30576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 </w:t>
          </w:r>
          <w:r>
            <w:rPr>
              <w:rFonts w:hint="eastAsia"/>
              <w:lang w:val="en-US" w:eastAsia="zh-CN"/>
            </w:rPr>
            <w:t>参与招标项目</w:t>
          </w:r>
          <w:r>
            <w:tab/>
          </w:r>
          <w:r>
            <w:fldChar w:fldCharType="begin"/>
          </w:r>
          <w:r>
            <w:instrText xml:space="preserve"> PAGEREF _Toc30576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6B85B356"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_Toc30450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2.1. </w:t>
          </w:r>
          <w:r>
            <w:rPr>
              <w:rFonts w:hint="eastAsia"/>
              <w:lang w:val="en-US" w:eastAsia="zh-CN"/>
            </w:rPr>
            <w:t>用户登录</w:t>
          </w:r>
          <w:r>
            <w:tab/>
          </w:r>
          <w:r>
            <w:fldChar w:fldCharType="begin"/>
          </w:r>
          <w:r>
            <w:instrText xml:space="preserve"> PAGEREF _Toc30450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28188AB8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_Toc5390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2.1.1. </w:t>
          </w:r>
          <w:r>
            <w:rPr>
              <w:rFonts w:hint="eastAsia"/>
              <w:lang w:val="en-US" w:eastAsia="zh-CN"/>
            </w:rPr>
            <w:t>账号密码登录</w:t>
          </w:r>
          <w:r>
            <w:tab/>
          </w:r>
          <w:r>
            <w:fldChar w:fldCharType="begin"/>
          </w:r>
          <w:r>
            <w:instrText xml:space="preserve"> PAGEREF _Toc5390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2AE47669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_Toc1149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2.1.2. </w:t>
          </w:r>
          <w:r>
            <w:rPr>
              <w:rFonts w:hint="eastAsia"/>
              <w:lang w:val="en-US" w:eastAsia="zh-CN"/>
            </w:rPr>
            <w:t>CA登录</w:t>
          </w:r>
          <w:r>
            <w:tab/>
          </w:r>
          <w:r>
            <w:fldChar w:fldCharType="begin"/>
          </w:r>
          <w:r>
            <w:instrText xml:space="preserve"> PAGEREF _Toc1149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1D6391E5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_Toc14807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2.1.3. </w:t>
          </w:r>
          <w:r>
            <w:rPr>
              <w:rFonts w:hint="eastAsia"/>
              <w:lang w:val="en-US" w:eastAsia="zh-CN"/>
            </w:rPr>
            <w:t>短信登录</w:t>
          </w:r>
          <w:r>
            <w:tab/>
          </w:r>
          <w:r>
            <w:fldChar w:fldCharType="begin"/>
          </w:r>
          <w:r>
            <w:instrText xml:space="preserve"> PAGEREF _Toc14807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397B79DE"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_Toc11274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2.2. </w:t>
          </w:r>
          <w:r>
            <w:rPr>
              <w:rFonts w:hint="eastAsia"/>
              <w:lang w:val="en-US" w:eastAsia="zh-CN"/>
            </w:rPr>
            <w:t>CA操作</w:t>
          </w:r>
          <w:r>
            <w:tab/>
          </w:r>
          <w:r>
            <w:fldChar w:fldCharType="begin"/>
          </w:r>
          <w:r>
            <w:instrText xml:space="preserve"> PAGEREF _Toc11274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01F3A64B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_Toc1826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2.2.1. </w:t>
          </w:r>
          <w:r>
            <w:rPr>
              <w:rFonts w:hint="eastAsia"/>
              <w:lang w:val="en-US" w:eastAsia="zh-CN"/>
            </w:rPr>
            <w:t>CA申请</w:t>
          </w:r>
          <w:r>
            <w:tab/>
          </w:r>
          <w:r>
            <w:fldChar w:fldCharType="begin"/>
          </w:r>
          <w:r>
            <w:instrText xml:space="preserve"> PAGEREF _Toc1826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781A6FDA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_Toc26482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2.2.2. </w:t>
          </w:r>
          <w:r>
            <w:rPr>
              <w:rFonts w:hint="eastAsia"/>
              <w:lang w:val="en-US" w:eastAsia="zh-CN"/>
            </w:rPr>
            <w:t>CA续费</w:t>
          </w:r>
          <w:r>
            <w:tab/>
          </w:r>
          <w:r>
            <w:fldChar w:fldCharType="begin"/>
          </w:r>
          <w:r>
            <w:instrText xml:space="preserve"> PAGEREF _Toc26482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43924D65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_Toc7588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2.2.3. </w:t>
          </w:r>
          <w:r>
            <w:rPr>
              <w:rFonts w:hint="eastAsia"/>
              <w:lang w:val="en-US" w:eastAsia="zh-CN"/>
            </w:rPr>
            <w:t>CA绑定</w:t>
          </w:r>
          <w:r>
            <w:tab/>
          </w:r>
          <w:r>
            <w:fldChar w:fldCharType="begin"/>
          </w:r>
          <w:r>
            <w:instrText xml:space="preserve"> PAGEREF _Toc7588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69CA16C6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_Toc12763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2.2.4. </w:t>
          </w:r>
          <w:r>
            <w:rPr>
              <w:rFonts w:hint="eastAsia"/>
              <w:lang w:val="en-US" w:eastAsia="zh-CN"/>
            </w:rPr>
            <w:t>CA解绑</w:t>
          </w:r>
          <w:r>
            <w:tab/>
          </w:r>
          <w:r>
            <w:fldChar w:fldCharType="begin"/>
          </w:r>
          <w:r>
            <w:instrText xml:space="preserve"> PAGEREF _Toc12763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10C3FC99"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_Toc23617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2.3. </w:t>
          </w:r>
          <w:r>
            <w:rPr>
              <w:rFonts w:hint="eastAsia"/>
              <w:lang w:val="en-US" w:eastAsia="zh-CN"/>
            </w:rPr>
            <w:t>查看公告</w:t>
          </w:r>
          <w:r>
            <w:tab/>
          </w:r>
          <w:r>
            <w:fldChar w:fldCharType="begin"/>
          </w:r>
          <w:r>
            <w:instrText xml:space="preserve"> PAGEREF _Toc23617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38FBCF2A"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_Toc17819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2.4. </w:t>
          </w:r>
          <w:r>
            <w:rPr>
              <w:rFonts w:hint="eastAsia"/>
              <w:lang w:val="en-US" w:eastAsia="zh-CN"/>
            </w:rPr>
            <w:t>参与项目</w:t>
          </w:r>
          <w:r>
            <w:tab/>
          </w:r>
          <w:r>
            <w:fldChar w:fldCharType="begin"/>
          </w:r>
          <w:r>
            <w:instrText xml:space="preserve"> PAGEREF _Toc17819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5111253E"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_Toc14039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2.5. </w:t>
          </w:r>
          <w:r>
            <w:rPr>
              <w:rFonts w:hint="eastAsia"/>
              <w:lang w:val="en-US" w:eastAsia="zh-CN"/>
            </w:rPr>
            <w:t>购买文件</w:t>
          </w:r>
          <w:r>
            <w:tab/>
          </w:r>
          <w:r>
            <w:fldChar w:fldCharType="begin"/>
          </w:r>
          <w:r>
            <w:instrText xml:space="preserve"> PAGEREF _Toc14039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72FA77A2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_Toc26233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2.5.1. </w:t>
          </w:r>
          <w:r>
            <w:rPr>
              <w:rFonts w:hint="eastAsia"/>
              <w:lang w:val="en-US" w:eastAsia="zh-CN"/>
            </w:rPr>
            <w:t>线下支付</w:t>
          </w:r>
          <w:r>
            <w:tab/>
          </w:r>
          <w:r>
            <w:fldChar w:fldCharType="begin"/>
          </w:r>
          <w:r>
            <w:instrText xml:space="preserve"> PAGEREF _Toc26233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6CF1D5B8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_Toc27653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2.5.2. </w:t>
          </w:r>
          <w:r>
            <w:rPr>
              <w:rFonts w:hint="eastAsia"/>
              <w:lang w:val="en-US" w:eastAsia="zh-CN"/>
            </w:rPr>
            <w:t>线上支付</w:t>
          </w:r>
          <w:r>
            <w:tab/>
          </w:r>
          <w:r>
            <w:fldChar w:fldCharType="begin"/>
          </w:r>
          <w:r>
            <w:instrText xml:space="preserve"> PAGEREF _Toc27653 \h </w:instrText>
          </w:r>
          <w:r>
            <w:fldChar w:fldCharType="separate"/>
          </w:r>
          <w:r>
            <w:t>15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72803B19"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_Toc700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2.6. </w:t>
          </w:r>
          <w:r>
            <w:rPr>
              <w:rFonts w:hint="eastAsia"/>
              <w:lang w:val="en-US" w:eastAsia="zh-CN"/>
            </w:rPr>
            <w:t>文件下载</w:t>
          </w:r>
          <w:r>
            <w:tab/>
          </w:r>
          <w:r>
            <w:fldChar w:fldCharType="begin"/>
          </w:r>
          <w:r>
            <w:instrText xml:space="preserve"> PAGEREF _Toc700 \h </w:instrText>
          </w:r>
          <w:r>
            <w:fldChar w:fldCharType="separate"/>
          </w:r>
          <w:r>
            <w:t>17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539EDC88"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_Toc23156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2.7. </w:t>
          </w:r>
          <w:r>
            <w:rPr>
              <w:rFonts w:hint="eastAsia"/>
              <w:lang w:val="en-US" w:eastAsia="zh-CN"/>
            </w:rPr>
            <w:t>标书制作</w:t>
          </w:r>
          <w:r>
            <w:tab/>
          </w:r>
          <w:r>
            <w:fldChar w:fldCharType="begin"/>
          </w:r>
          <w:r>
            <w:instrText xml:space="preserve"> PAGEREF _Toc23156 \h </w:instrText>
          </w:r>
          <w:r>
            <w:fldChar w:fldCharType="separate"/>
          </w:r>
          <w:r>
            <w:t>17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063947F6"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_Toc2533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2.8. </w:t>
          </w:r>
          <w:r>
            <w:rPr>
              <w:rFonts w:hint="eastAsia"/>
              <w:lang w:val="en-US" w:eastAsia="zh-CN"/>
            </w:rPr>
            <w:t>招标文件获取</w:t>
          </w:r>
          <w:r>
            <w:tab/>
          </w:r>
          <w:r>
            <w:fldChar w:fldCharType="begin"/>
          </w:r>
          <w:r>
            <w:instrText xml:space="preserve"> PAGEREF _Toc2533 \h </w:instrText>
          </w:r>
          <w:r>
            <w:fldChar w:fldCharType="separate"/>
          </w:r>
          <w:r>
            <w:t>18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4ED74452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_Toc31030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2.8.1. </w:t>
          </w:r>
          <w:r>
            <w:rPr>
              <w:rFonts w:hint="eastAsia"/>
              <w:lang w:val="en-US" w:eastAsia="zh-CN"/>
            </w:rPr>
            <w:t>招标文件编制</w:t>
          </w:r>
          <w:r>
            <w:tab/>
          </w:r>
          <w:r>
            <w:fldChar w:fldCharType="begin"/>
          </w:r>
          <w:r>
            <w:instrText xml:space="preserve"> PAGEREF _Toc31030 \h </w:instrText>
          </w:r>
          <w:r>
            <w:fldChar w:fldCharType="separate"/>
          </w:r>
          <w:r>
            <w:t>18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40ADD7B4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_Toc3594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2.8.2. </w:t>
          </w:r>
          <w:r>
            <w:rPr>
              <w:rFonts w:hint="eastAsia"/>
              <w:lang w:val="en-US" w:eastAsia="zh-CN"/>
            </w:rPr>
            <w:t>关联条款</w:t>
          </w:r>
          <w:r>
            <w:tab/>
          </w:r>
          <w:r>
            <w:fldChar w:fldCharType="begin"/>
          </w:r>
          <w:r>
            <w:instrText xml:space="preserve"> PAGEREF _Toc3594 \h </w:instrText>
          </w:r>
          <w:r>
            <w:fldChar w:fldCharType="separate"/>
          </w:r>
          <w:r>
            <w:t>23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62BD612B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_Toc21545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2.8.3. </w:t>
          </w:r>
          <w:r>
            <w:rPr>
              <w:rFonts w:hint="eastAsia"/>
              <w:lang w:val="en-US" w:eastAsia="zh-CN"/>
            </w:rPr>
            <w:t>生成投标文件</w:t>
          </w:r>
          <w:r>
            <w:tab/>
          </w:r>
          <w:r>
            <w:fldChar w:fldCharType="begin"/>
          </w:r>
          <w:r>
            <w:instrText xml:space="preserve"> PAGEREF _Toc21545 \h </w:instrText>
          </w:r>
          <w:r>
            <w:fldChar w:fldCharType="separate"/>
          </w:r>
          <w:r>
            <w:t>25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4AAD32D2"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_Toc11558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2.9. </w:t>
          </w:r>
          <w:r>
            <w:rPr>
              <w:rFonts w:hint="eastAsia"/>
              <w:lang w:val="en-US" w:eastAsia="zh-CN"/>
            </w:rPr>
            <w:t>查看投标文件</w:t>
          </w:r>
          <w:r>
            <w:tab/>
          </w:r>
          <w:r>
            <w:fldChar w:fldCharType="begin"/>
          </w:r>
          <w:r>
            <w:instrText xml:space="preserve"> PAGEREF _Toc11558 \h </w:instrText>
          </w:r>
          <w:r>
            <w:fldChar w:fldCharType="separate"/>
          </w:r>
          <w:r>
            <w:t>29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3AFAF948"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_Toc13455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2.10. </w:t>
          </w:r>
          <w:r>
            <w:rPr>
              <w:rFonts w:hint="eastAsia"/>
              <w:lang w:val="en-US" w:eastAsia="zh-CN"/>
            </w:rPr>
            <w:t>递交投标文件</w:t>
          </w:r>
          <w:r>
            <w:tab/>
          </w:r>
          <w:r>
            <w:fldChar w:fldCharType="begin"/>
          </w:r>
          <w:r>
            <w:instrText xml:space="preserve"> PAGEREF _Toc13455 \h </w:instrText>
          </w:r>
          <w:r>
            <w:fldChar w:fldCharType="separate"/>
          </w:r>
          <w:r>
            <w:t>29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34677BCB"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_Toc27106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2.11. </w:t>
          </w:r>
          <w:r>
            <w:rPr>
              <w:rFonts w:hint="eastAsia"/>
              <w:lang w:val="en-US" w:eastAsia="zh-CN"/>
            </w:rPr>
            <w:t>开标阶段</w:t>
          </w:r>
          <w:r>
            <w:tab/>
          </w:r>
          <w:r>
            <w:fldChar w:fldCharType="begin"/>
          </w:r>
          <w:r>
            <w:instrText xml:space="preserve"> PAGEREF _Toc27106 \h </w:instrText>
          </w:r>
          <w:r>
            <w:fldChar w:fldCharType="separate"/>
          </w:r>
          <w:r>
            <w:t>30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11C2D12D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_Toc7985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2.11.1. </w:t>
          </w:r>
          <w:r>
            <w:rPr>
              <w:rFonts w:hint="eastAsia"/>
              <w:lang w:val="en-US" w:eastAsia="zh-CN"/>
            </w:rPr>
            <w:t>开标</w:t>
          </w:r>
          <w:r>
            <w:tab/>
          </w:r>
          <w:r>
            <w:fldChar w:fldCharType="begin"/>
          </w:r>
          <w:r>
            <w:instrText xml:space="preserve"> PAGEREF _Toc7985 \h </w:instrText>
          </w:r>
          <w:r>
            <w:fldChar w:fldCharType="separate"/>
          </w:r>
          <w:r>
            <w:t>30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4C2F023D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_Toc6044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2.11.2. </w:t>
          </w:r>
          <w:r>
            <w:rPr>
              <w:rFonts w:hint="eastAsia"/>
              <w:lang w:val="en-US" w:eastAsia="zh-CN"/>
            </w:rPr>
            <w:t>解密</w:t>
          </w:r>
          <w:r>
            <w:tab/>
          </w:r>
          <w:r>
            <w:fldChar w:fldCharType="begin"/>
          </w:r>
          <w:r>
            <w:instrText xml:space="preserve"> PAGEREF _Toc6044 \h </w:instrText>
          </w:r>
          <w:r>
            <w:fldChar w:fldCharType="separate"/>
          </w:r>
          <w:r>
            <w:t>31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49CF8028"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_Toc23749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2.12. </w:t>
          </w:r>
          <w:r>
            <w:rPr>
              <w:rFonts w:hint="eastAsia"/>
              <w:lang w:val="en-US" w:eastAsia="zh-CN"/>
            </w:rPr>
            <w:t>定标阶段</w:t>
          </w:r>
          <w:r>
            <w:tab/>
          </w:r>
          <w:r>
            <w:fldChar w:fldCharType="begin"/>
          </w:r>
          <w:r>
            <w:instrText xml:space="preserve"> PAGEREF _Toc23749 \h </w:instrText>
          </w:r>
          <w:r>
            <w:fldChar w:fldCharType="separate"/>
          </w:r>
          <w:r>
            <w:t>36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53F11566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_Toc23483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2.12.1. </w:t>
          </w:r>
          <w:r>
            <w:t>中标候选人公示查看</w:t>
          </w:r>
          <w:r>
            <w:tab/>
          </w:r>
          <w:r>
            <w:fldChar w:fldCharType="begin"/>
          </w:r>
          <w:r>
            <w:instrText xml:space="preserve"> PAGEREF _Toc23483 \h </w:instrText>
          </w:r>
          <w:r>
            <w:fldChar w:fldCharType="separate"/>
          </w:r>
          <w:r>
            <w:t>36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6F0478D4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_Toc9848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</w:rPr>
            <w:t xml:space="preserve">2.12.2. </w:t>
          </w:r>
          <w:r>
            <w:t>中标结果公告查看</w:t>
          </w:r>
          <w:r>
            <w:tab/>
          </w:r>
          <w:r>
            <w:fldChar w:fldCharType="begin"/>
          </w:r>
          <w:r>
            <w:instrText xml:space="preserve"> PAGEREF _Toc9848 \h </w:instrText>
          </w:r>
          <w:r>
            <w:fldChar w:fldCharType="separate"/>
          </w:r>
          <w:r>
            <w:t>37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0BD5EE2F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_Toc5778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2.12.3. </w:t>
          </w:r>
          <w:r>
            <w:t>中标通知书查看</w:t>
          </w:r>
          <w:r>
            <w:tab/>
          </w:r>
          <w:r>
            <w:fldChar w:fldCharType="begin"/>
          </w:r>
          <w:r>
            <w:instrText xml:space="preserve"> PAGEREF _Toc5778 \h </w:instrText>
          </w:r>
          <w:r>
            <w:fldChar w:fldCharType="separate"/>
          </w:r>
          <w:r>
            <w:t>37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386B8B10"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_Toc8133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2.13. </w:t>
          </w:r>
          <w:r>
            <w:rPr>
              <w:rFonts w:hint="eastAsia"/>
              <w:lang w:val="en-US" w:eastAsia="zh-CN"/>
            </w:rPr>
            <w:t>费用阶段</w:t>
          </w:r>
          <w:r>
            <w:tab/>
          </w:r>
          <w:r>
            <w:fldChar w:fldCharType="begin"/>
          </w:r>
          <w:r>
            <w:instrText xml:space="preserve"> PAGEREF _Toc8133 \h </w:instrText>
          </w:r>
          <w:r>
            <w:fldChar w:fldCharType="separate"/>
          </w:r>
          <w:r>
            <w:t>38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17E21FD4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_Toc22618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2.13.1. </w:t>
          </w:r>
          <w:r>
            <w:rPr>
              <w:rFonts w:hint="eastAsia"/>
              <w:lang w:val="en-US" w:eastAsia="zh-CN"/>
            </w:rPr>
            <w:t>保证金管理</w:t>
          </w:r>
          <w:r>
            <w:tab/>
          </w:r>
          <w:r>
            <w:fldChar w:fldCharType="begin"/>
          </w:r>
          <w:r>
            <w:instrText xml:space="preserve"> PAGEREF _Toc22618 \h </w:instrText>
          </w:r>
          <w:r>
            <w:fldChar w:fldCharType="separate"/>
          </w:r>
          <w:r>
            <w:t>38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3B26B91C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_Toc20480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2.13.2. </w:t>
          </w:r>
          <w:r>
            <w:rPr>
              <w:rFonts w:hint="eastAsia"/>
              <w:lang w:val="en-US" w:eastAsia="zh-CN"/>
            </w:rPr>
            <w:t>查看复核状态</w:t>
          </w:r>
          <w:r>
            <w:tab/>
          </w:r>
          <w:r>
            <w:fldChar w:fldCharType="begin"/>
          </w:r>
          <w:r>
            <w:instrText xml:space="preserve"> PAGEREF _Toc20480 \h </w:instrText>
          </w:r>
          <w:r>
            <w:fldChar w:fldCharType="separate"/>
          </w:r>
          <w:r>
            <w:t>40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40975962">
          <w:pPr>
            <w:pStyle w:val="12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_Toc27410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3. </w:t>
          </w:r>
          <w:r>
            <w:rPr>
              <w:rFonts w:hint="eastAsia"/>
              <w:lang w:val="en-US" w:eastAsia="zh-CN"/>
            </w:rPr>
            <w:t>邀请招标</w:t>
          </w:r>
          <w:r>
            <w:tab/>
          </w:r>
          <w:r>
            <w:fldChar w:fldCharType="begin"/>
          </w:r>
          <w:r>
            <w:instrText xml:space="preserve"> PAGEREF _Toc27410 \h </w:instrText>
          </w:r>
          <w:r>
            <w:fldChar w:fldCharType="separate"/>
          </w:r>
          <w:r>
            <w:t>40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05E2526F"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_Toc8509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3.1. </w:t>
          </w:r>
          <w:r>
            <w:rPr>
              <w:rFonts w:hint="eastAsia"/>
              <w:lang w:val="en-US" w:eastAsia="zh-CN"/>
            </w:rPr>
            <w:t>项目参与</w:t>
          </w:r>
          <w:r>
            <w:tab/>
          </w:r>
          <w:r>
            <w:fldChar w:fldCharType="begin"/>
          </w:r>
          <w:r>
            <w:instrText xml:space="preserve"> PAGEREF _Toc8509 \h </w:instrText>
          </w:r>
          <w:r>
            <w:fldChar w:fldCharType="separate"/>
          </w:r>
          <w:r>
            <w:t>40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695ED000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_Toc69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3.1.1. </w:t>
          </w:r>
          <w:r>
            <w:rPr>
              <w:rFonts w:hint="eastAsia"/>
              <w:lang w:val="en-US" w:eastAsia="zh-CN"/>
            </w:rPr>
            <w:t>邀请回执</w:t>
          </w:r>
          <w:r>
            <w:tab/>
          </w:r>
          <w:r>
            <w:fldChar w:fldCharType="begin"/>
          </w:r>
          <w:r>
            <w:instrText xml:space="preserve"> PAGEREF _Toc69 \h </w:instrText>
          </w:r>
          <w:r>
            <w:fldChar w:fldCharType="separate"/>
          </w:r>
          <w:r>
            <w:t>40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33FDB00C">
          <w:pPr>
            <w:pStyle w:val="12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_Toc22403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4. </w:t>
          </w:r>
          <w:r>
            <w:rPr>
              <w:rFonts w:hint="eastAsia"/>
              <w:lang w:val="en-US" w:eastAsia="zh-CN"/>
            </w:rPr>
            <w:t>竞价</w:t>
          </w:r>
          <w:r>
            <w:tab/>
          </w:r>
          <w:r>
            <w:fldChar w:fldCharType="begin"/>
          </w:r>
          <w:r>
            <w:instrText xml:space="preserve"> PAGEREF _Toc22403 \h </w:instrText>
          </w:r>
          <w:r>
            <w:fldChar w:fldCharType="separate"/>
          </w:r>
          <w:r>
            <w:t>41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6F6DD32C"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_Toc18941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4.1. </w:t>
          </w:r>
          <w:r>
            <w:rPr>
              <w:rFonts w:hint="eastAsia"/>
              <w:lang w:val="en-US" w:eastAsia="zh-CN"/>
            </w:rPr>
            <w:t>项目参与</w:t>
          </w:r>
          <w:r>
            <w:tab/>
          </w:r>
          <w:r>
            <w:fldChar w:fldCharType="begin"/>
          </w:r>
          <w:r>
            <w:instrText xml:space="preserve"> PAGEREF _Toc18941 \h </w:instrText>
          </w:r>
          <w:r>
            <w:fldChar w:fldCharType="separate"/>
          </w:r>
          <w:r>
            <w:t>41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503AD236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_Toc19039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4.1.1. </w:t>
          </w:r>
          <w:r>
            <w:rPr>
              <w:rFonts w:hint="eastAsia"/>
              <w:lang w:val="en-US" w:eastAsia="zh-CN"/>
            </w:rPr>
            <w:t>报名</w:t>
          </w:r>
          <w:r>
            <w:tab/>
          </w:r>
          <w:r>
            <w:fldChar w:fldCharType="begin"/>
          </w:r>
          <w:r>
            <w:instrText xml:space="preserve"> PAGEREF _Toc19039 \h </w:instrText>
          </w:r>
          <w:r>
            <w:fldChar w:fldCharType="separate"/>
          </w:r>
          <w:r>
            <w:t>41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57D287F9"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_Toc16505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4.2. </w:t>
          </w:r>
          <w:r>
            <w:rPr>
              <w:rFonts w:hint="eastAsia"/>
              <w:lang w:val="en-US" w:eastAsia="zh-CN"/>
            </w:rPr>
            <w:t>竞价阶段</w:t>
          </w:r>
          <w:r>
            <w:tab/>
          </w:r>
          <w:r>
            <w:fldChar w:fldCharType="begin"/>
          </w:r>
          <w:r>
            <w:instrText xml:space="preserve"> PAGEREF _Toc16505 \h </w:instrText>
          </w:r>
          <w:r>
            <w:fldChar w:fldCharType="separate"/>
          </w:r>
          <w:r>
            <w:t>43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59A9A951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_Toc15450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4.2.1. </w:t>
          </w:r>
          <w:r>
            <w:rPr>
              <w:rFonts w:hint="eastAsia"/>
              <w:lang w:val="en-US" w:eastAsia="zh-CN"/>
            </w:rPr>
            <w:t>进入竞价大厅</w:t>
          </w:r>
          <w:r>
            <w:tab/>
          </w:r>
          <w:r>
            <w:fldChar w:fldCharType="begin"/>
          </w:r>
          <w:r>
            <w:instrText xml:space="preserve"> PAGEREF _Toc15450 \h </w:instrText>
          </w:r>
          <w:r>
            <w:fldChar w:fldCharType="separate"/>
          </w:r>
          <w:r>
            <w:t>43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574B919D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_Toc8795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4.2.2. </w:t>
          </w:r>
          <w:r>
            <w:rPr>
              <w:rFonts w:hint="eastAsia"/>
              <w:lang w:val="en-US" w:eastAsia="zh-CN"/>
            </w:rPr>
            <w:t>竞价开始</w:t>
          </w:r>
          <w:r>
            <w:tab/>
          </w:r>
          <w:r>
            <w:fldChar w:fldCharType="begin"/>
          </w:r>
          <w:r>
            <w:instrText xml:space="preserve"> PAGEREF _Toc8795 \h </w:instrText>
          </w:r>
          <w:r>
            <w:fldChar w:fldCharType="separate"/>
          </w:r>
          <w:r>
            <w:t>43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0409E9CF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_Toc18146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4.2.3. </w:t>
          </w:r>
          <w:r>
            <w:rPr>
              <w:rFonts w:hint="eastAsia"/>
              <w:lang w:val="en-US" w:eastAsia="zh-CN"/>
            </w:rPr>
            <w:t>竞价结束</w:t>
          </w:r>
          <w:r>
            <w:tab/>
          </w:r>
          <w:r>
            <w:fldChar w:fldCharType="begin"/>
          </w:r>
          <w:r>
            <w:instrText xml:space="preserve"> PAGEREF _Toc18146 \h </w:instrText>
          </w:r>
          <w:r>
            <w:fldChar w:fldCharType="separate"/>
          </w:r>
          <w:r>
            <w:t>44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6ECABEB3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_Toc27487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4.2.4. </w:t>
          </w:r>
          <w:r>
            <w:rPr>
              <w:rFonts w:hint="eastAsia"/>
              <w:lang w:val="en-US" w:eastAsia="zh-CN"/>
            </w:rPr>
            <w:t>补填明细</w:t>
          </w:r>
          <w:r>
            <w:tab/>
          </w:r>
          <w:r>
            <w:fldChar w:fldCharType="begin"/>
          </w:r>
          <w:r>
            <w:instrText xml:space="preserve"> PAGEREF _Toc27487 \h </w:instrText>
          </w:r>
          <w:r>
            <w:fldChar w:fldCharType="separate"/>
          </w:r>
          <w:r>
            <w:t>44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46E96C24">
          <w:pPr>
            <w:pStyle w:val="12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_Toc18077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5. </w:t>
          </w:r>
          <w:r>
            <w:rPr>
              <w:rFonts w:hint="eastAsia"/>
              <w:lang w:val="en-US" w:eastAsia="zh-CN"/>
            </w:rPr>
            <w:t>谈判</w:t>
          </w:r>
          <w:r>
            <w:tab/>
          </w:r>
          <w:r>
            <w:fldChar w:fldCharType="begin"/>
          </w:r>
          <w:r>
            <w:instrText xml:space="preserve"> PAGEREF _Toc18077 \h </w:instrText>
          </w:r>
          <w:r>
            <w:fldChar w:fldCharType="separate"/>
          </w:r>
          <w:r>
            <w:t>44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35806DEA"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_Toc7663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5.1. </w:t>
          </w:r>
          <w:r>
            <w:rPr>
              <w:rFonts w:hint="eastAsia"/>
              <w:lang w:val="en-US" w:eastAsia="zh-CN"/>
            </w:rPr>
            <w:t>报价</w:t>
          </w:r>
          <w:r>
            <w:tab/>
          </w:r>
          <w:r>
            <w:fldChar w:fldCharType="begin"/>
          </w:r>
          <w:r>
            <w:instrText xml:space="preserve"> PAGEREF _Toc7663 \h </w:instrText>
          </w:r>
          <w:r>
            <w:fldChar w:fldCharType="separate"/>
          </w:r>
          <w:r>
            <w:t>45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06F9DAC7">
          <w:pPr>
            <w:pStyle w:val="12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_Toc21321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6. </w:t>
          </w:r>
          <w:r>
            <w:rPr>
              <w:rFonts w:hint="eastAsia"/>
              <w:lang w:val="en-US" w:eastAsia="zh-CN"/>
            </w:rPr>
            <w:t>询比</w:t>
          </w:r>
          <w:r>
            <w:tab/>
          </w:r>
          <w:r>
            <w:fldChar w:fldCharType="begin"/>
          </w:r>
          <w:r>
            <w:instrText xml:space="preserve"> PAGEREF _Toc21321 \h </w:instrText>
          </w:r>
          <w:r>
            <w:fldChar w:fldCharType="separate"/>
          </w:r>
          <w:r>
            <w:t>45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5054F135">
          <w:pPr>
            <w:pStyle w:val="12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_Toc24061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7. </w:t>
          </w:r>
          <w:r>
            <w:rPr>
              <w:rFonts w:hint="eastAsia"/>
              <w:lang w:val="en-US" w:eastAsia="zh-CN"/>
            </w:rPr>
            <w:t>直接采购</w:t>
          </w:r>
          <w:r>
            <w:tab/>
          </w:r>
          <w:r>
            <w:fldChar w:fldCharType="begin"/>
          </w:r>
          <w:r>
            <w:instrText xml:space="preserve"> PAGEREF _Toc24061 \h </w:instrText>
          </w:r>
          <w:r>
            <w:fldChar w:fldCharType="separate"/>
          </w:r>
          <w:r>
            <w:t>45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4E848E75">
          <w:pPr>
            <w:keepNext w:val="0"/>
            <w:keepLines w:val="0"/>
            <w:pageBreakBefore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textAlignment w:val="auto"/>
            <w:rPr>
              <w:rFonts w:hint="eastAsia" w:asciiTheme="minorHAnsi" w:hAnsiTheme="minorHAnsi" w:eastAsiaTheme="minorEastAsia" w:cstheme="minorBidi"/>
              <w:kern w:val="2"/>
              <w:sz w:val="21"/>
              <w:szCs w:val="24"/>
              <w:lang w:val="en-US" w:eastAsia="zh-CN" w:bidi="ar-SA"/>
            </w:rPr>
            <w:sectPr>
              <w:pgSz w:w="11906" w:h="16838"/>
              <w:pgMar w:top="1440" w:right="1800" w:bottom="1440" w:left="1800" w:header="851" w:footer="992" w:gutter="0"/>
              <w:cols w:space="425" w:num="1"/>
              <w:docGrid w:type="lines" w:linePitch="312" w:charSpace="0"/>
            </w:sectPr>
          </w:pPr>
          <w:r>
            <w:rPr>
              <w:rFonts w:hint="eastAsia"/>
              <w:lang w:val="en-US" w:eastAsia="zh-CN"/>
            </w:rPr>
            <w:fldChar w:fldCharType="end"/>
          </w:r>
        </w:p>
      </w:sdtContent>
    </w:sdt>
    <w:p w14:paraId="6218E4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0AACDE41">
      <w:pPr>
        <w:pStyle w:val="2"/>
        <w:bidi w:val="0"/>
        <w:rPr>
          <w:rFonts w:hint="eastAsia"/>
          <w:lang w:val="en-US" w:eastAsia="zh-CN"/>
        </w:rPr>
      </w:pPr>
      <w:bookmarkStart w:id="1" w:name="_Toc4342"/>
      <w:r>
        <w:rPr>
          <w:rFonts w:hint="eastAsia"/>
          <w:lang w:val="en-US" w:eastAsia="zh-CN"/>
        </w:rPr>
        <w:t>用户注册</w:t>
      </w:r>
      <w:bookmarkEnd w:id="1"/>
    </w:p>
    <w:p w14:paraId="7A3F6D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用户注册详见《长投招采平台供应商注册指南v1.doc》操作文档，请在长投招采平台下载浏览。</w:t>
      </w:r>
    </w:p>
    <w:p w14:paraId="328257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下载地址：https://zcpt.cjtouzi.com/</w:t>
      </w:r>
    </w:p>
    <w:p w14:paraId="66F05B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drawing>
          <wp:inline distT="0" distB="0" distL="114300" distR="114300">
            <wp:extent cx="5265420" cy="2830830"/>
            <wp:effectExtent l="0" t="0" r="0" b="3810"/>
            <wp:docPr id="91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1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3ED4F8">
      <w:pPr>
        <w:pStyle w:val="2"/>
        <w:bidi w:val="0"/>
        <w:rPr>
          <w:rFonts w:hint="eastAsia"/>
          <w:lang w:val="en-US" w:eastAsia="zh-CN"/>
        </w:rPr>
      </w:pPr>
      <w:bookmarkStart w:id="2" w:name="_Toc30576"/>
      <w:r>
        <w:rPr>
          <w:rFonts w:hint="eastAsia"/>
          <w:lang w:val="en-US" w:eastAsia="zh-CN"/>
        </w:rPr>
        <w:t>参与招标项目</w:t>
      </w:r>
      <w:bookmarkEnd w:id="2"/>
    </w:p>
    <w:p w14:paraId="39088ABE">
      <w:pPr>
        <w:pStyle w:val="3"/>
        <w:bidi w:val="0"/>
        <w:rPr>
          <w:rFonts w:hint="default"/>
          <w:lang w:val="en-US" w:eastAsia="zh-CN"/>
        </w:rPr>
      </w:pPr>
      <w:bookmarkStart w:id="3" w:name="_Toc30450"/>
      <w:bookmarkStart w:id="4" w:name="_用户登录"/>
      <w:r>
        <w:rPr>
          <w:rFonts w:hint="eastAsia"/>
          <w:lang w:val="en-US" w:eastAsia="zh-CN"/>
        </w:rPr>
        <w:t>用户登录</w:t>
      </w:r>
      <w:bookmarkEnd w:id="3"/>
    </w:p>
    <w:p w14:paraId="0DDAD810">
      <w:pPr>
        <w:pStyle w:val="4"/>
        <w:bidi w:val="0"/>
        <w:rPr>
          <w:rFonts w:hint="default"/>
          <w:lang w:val="en-US" w:eastAsia="zh-CN"/>
        </w:rPr>
      </w:pPr>
      <w:bookmarkStart w:id="5" w:name="_Toc5390"/>
      <w:r>
        <w:rPr>
          <w:rFonts w:hint="eastAsia"/>
          <w:lang w:val="en-US" w:eastAsia="zh-CN"/>
        </w:rPr>
        <w:t>账号密码登录</w:t>
      </w:r>
      <w:bookmarkEnd w:id="5"/>
    </w:p>
    <w:bookmarkEnd w:id="4"/>
    <w:p w14:paraId="65E3AA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</w:pPr>
      <w:r>
        <w:rPr>
          <w:rFonts w:hint="eastAsia"/>
        </w:rPr>
        <w:t>输入https://zcpt.cjtouzi.com/ebidding/#/login访问，进入如下页面：</w:t>
      </w:r>
    </w:p>
    <w:p w14:paraId="2BA224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7960" cy="2837180"/>
            <wp:effectExtent l="0" t="0" r="508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3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023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输入账号和密码进行登录。</w:t>
      </w:r>
    </w:p>
    <w:p w14:paraId="6FD62816">
      <w:pPr>
        <w:pStyle w:val="4"/>
        <w:bidi w:val="0"/>
        <w:rPr>
          <w:rFonts w:hint="default"/>
          <w:lang w:val="en-US" w:eastAsia="zh-CN"/>
        </w:rPr>
      </w:pPr>
      <w:bookmarkStart w:id="6" w:name="_Toc1149"/>
      <w:r>
        <w:rPr>
          <w:rFonts w:hint="eastAsia"/>
          <w:lang w:val="en-US" w:eastAsia="zh-CN"/>
        </w:rPr>
        <w:t>CA登录</w:t>
      </w:r>
      <w:bookmarkEnd w:id="6"/>
    </w:p>
    <w:p w14:paraId="75AD09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12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C8A2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使用CA登录方式，需要先插入CA，选择CA类型，然后输入CA密码。</w:t>
      </w:r>
    </w:p>
    <w:p w14:paraId="17A75871">
      <w:pPr>
        <w:pStyle w:val="4"/>
        <w:bidi w:val="0"/>
        <w:rPr>
          <w:rFonts w:hint="default"/>
          <w:lang w:val="en-US" w:eastAsia="zh-CN"/>
        </w:rPr>
      </w:pPr>
      <w:bookmarkStart w:id="7" w:name="_Toc14807"/>
      <w:r>
        <w:rPr>
          <w:rFonts w:hint="eastAsia"/>
          <w:lang w:val="en-US" w:eastAsia="zh-CN"/>
        </w:rPr>
        <w:t>短信登录</w:t>
      </w:r>
      <w:bookmarkEnd w:id="7"/>
    </w:p>
    <w:p w14:paraId="780CA1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12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F2AA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使用短信登录，需要填写注册时预留手机号，保证手机能正常接收信息，获取到验证码之后输入即可登录。</w:t>
      </w:r>
    </w:p>
    <w:p w14:paraId="7181FD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</w:p>
    <w:p w14:paraId="791B79F3">
      <w:pPr>
        <w:pStyle w:val="3"/>
        <w:bidi w:val="0"/>
        <w:rPr>
          <w:rFonts w:hint="eastAsia"/>
          <w:lang w:val="en-US" w:eastAsia="zh-CN"/>
        </w:rPr>
      </w:pPr>
      <w:bookmarkStart w:id="8" w:name="_Toc11274"/>
      <w:bookmarkStart w:id="9" w:name="_CA操作"/>
      <w:r>
        <w:rPr>
          <w:rFonts w:hint="eastAsia"/>
          <w:lang w:val="en-US" w:eastAsia="zh-CN"/>
        </w:rPr>
        <w:t>CA操作</w:t>
      </w:r>
      <w:bookmarkEnd w:id="8"/>
    </w:p>
    <w:bookmarkEnd w:id="9"/>
    <w:p w14:paraId="643800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CA操作依赖与一把CA锁和对应的驱动，需要按照驱动，然后将CA锁插入电脑。</w:t>
      </w:r>
    </w:p>
    <w:p w14:paraId="7092F7C7">
      <w:pPr>
        <w:pStyle w:val="4"/>
        <w:bidi w:val="0"/>
        <w:rPr>
          <w:rFonts w:hint="eastAsia"/>
          <w:lang w:val="en-US" w:eastAsia="zh-CN"/>
        </w:rPr>
      </w:pPr>
      <w:bookmarkStart w:id="10" w:name="_Toc1826"/>
      <w:r>
        <w:rPr>
          <w:rFonts w:hint="eastAsia"/>
          <w:lang w:val="en-US" w:eastAsia="zh-CN"/>
        </w:rPr>
        <w:t>CA申请</w:t>
      </w:r>
      <w:bookmarkEnd w:id="10"/>
    </w:p>
    <w:p w14:paraId="4085F6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供应商注册完成之后，如果需要购买CA可以参考下面操作。</w:t>
      </w:r>
    </w:p>
    <w:p w14:paraId="3D6E83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7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5ABB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点击【在线申请/续费】弹出申请页面，分为CA信息、申请人信息、申请单位信息几个模块，按照页面要求填写，带*号的必填。</w:t>
      </w:r>
    </w:p>
    <w:p w14:paraId="63F8DF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CA申请在申请类型选择申请-湖北CA。</w:t>
      </w:r>
    </w:p>
    <w:p w14:paraId="0F52E3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7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761E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填写完成，单击【提交】按钮，进行提交，进入支付页面。</w:t>
      </w:r>
    </w:p>
    <w:p w14:paraId="644DC8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7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B32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</w:t>
      </w:r>
      <w:r>
        <w:rPr>
          <w:rFonts w:hint="eastAsia"/>
          <w:lang w:eastAsia="zh-CN"/>
        </w:rPr>
        <w:t>【</w:t>
      </w:r>
      <w:r>
        <w:rPr>
          <w:rFonts w:hint="eastAsia"/>
          <w:lang w:val="en-US" w:eastAsia="zh-CN"/>
        </w:rPr>
        <w:t>立即支付</w:t>
      </w:r>
      <w:r>
        <w:rPr>
          <w:rFonts w:hint="eastAsia"/>
          <w:lang w:eastAsia="zh-CN"/>
        </w:rPr>
        <w:t>】，</w:t>
      </w:r>
      <w:r>
        <w:rPr>
          <w:rFonts w:hint="eastAsia"/>
          <w:lang w:val="en-US" w:eastAsia="zh-CN"/>
        </w:rPr>
        <w:t>进行支付办理CA的费用。</w:t>
      </w:r>
    </w:p>
    <w:p w14:paraId="3C6757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7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E264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单击【银联商务】，弹出二维码进行扫码付款，支持微信、支付宝、银联付款。</w:t>
      </w:r>
    </w:p>
    <w:p w14:paraId="5E5F77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7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D69C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付款成功之后，等待湖北CA进行审核、邮寄ukey，在页面可以查看邮寄状态。</w:t>
      </w:r>
    </w:p>
    <w:p w14:paraId="53FE5E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5265420" cy="2830830"/>
            <wp:effectExtent l="0" t="0" r="0" b="3810"/>
            <wp:docPr id="8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B229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 w14:paraId="4837CA06">
      <w:pPr>
        <w:pStyle w:val="4"/>
        <w:bidi w:val="0"/>
        <w:rPr>
          <w:rFonts w:hint="default"/>
          <w:lang w:val="en-US" w:eastAsia="zh-CN"/>
        </w:rPr>
      </w:pPr>
      <w:bookmarkStart w:id="11" w:name="_Toc26482"/>
      <w:r>
        <w:rPr>
          <w:rFonts w:hint="eastAsia"/>
          <w:lang w:val="en-US" w:eastAsia="zh-CN"/>
        </w:rPr>
        <w:t>CA续费</w:t>
      </w:r>
      <w:bookmarkEnd w:id="11"/>
    </w:p>
    <w:p w14:paraId="2F26C0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CA续费操作流程和1.2.1.CA申请章节一样，只是在CA信息-申请类型选择续费-湖北CA。</w:t>
      </w:r>
    </w:p>
    <w:p w14:paraId="2FE074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5265420" cy="2830830"/>
            <wp:effectExtent l="0" t="0" r="0" b="3810"/>
            <wp:docPr id="8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13ED2">
      <w:pPr>
        <w:pStyle w:val="4"/>
        <w:bidi w:val="0"/>
        <w:ind w:left="864" w:leftChars="0" w:hanging="864" w:firstLineChars="0"/>
        <w:rPr>
          <w:rFonts w:hint="eastAsia"/>
          <w:lang w:val="en-US" w:eastAsia="zh-CN"/>
        </w:rPr>
      </w:pPr>
      <w:bookmarkStart w:id="12" w:name="_Toc7588"/>
      <w:r>
        <w:rPr>
          <w:rFonts w:hint="eastAsia"/>
          <w:lang w:val="en-US" w:eastAsia="zh-CN"/>
        </w:rPr>
        <w:t>CA绑定</w:t>
      </w:r>
      <w:bookmarkEnd w:id="12"/>
    </w:p>
    <w:p w14:paraId="7A2EB6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83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1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D093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登录之后，选择【系统管理】，找到【CA绑定】菜单，单击右侧【CA绑定】，弹出CA绑定页面，输入CA密码，单击【CA绑定】按钮，CA和用户完成绑定，一个用户只能绑定一个CA。</w:t>
      </w:r>
    </w:p>
    <w:p w14:paraId="0866E0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drawing>
          <wp:inline distT="0" distB="0" distL="114300" distR="114300">
            <wp:extent cx="5273040" cy="2286000"/>
            <wp:effectExtent l="0" t="0" r="0" b="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4B52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检查CA信息，单击【绑定】按钮完成绑定。</w:t>
      </w:r>
    </w:p>
    <w:p w14:paraId="56C5D9FD">
      <w:pPr>
        <w:pStyle w:val="4"/>
        <w:bidi w:val="0"/>
        <w:rPr>
          <w:rFonts w:hint="default"/>
          <w:lang w:val="en-US" w:eastAsia="zh-CN"/>
        </w:rPr>
      </w:pPr>
      <w:bookmarkStart w:id="13" w:name="_Toc12763"/>
      <w:r>
        <w:rPr>
          <w:rFonts w:hint="eastAsia"/>
          <w:lang w:val="en-US" w:eastAsia="zh-CN"/>
        </w:rPr>
        <w:t>CA解绑</w:t>
      </w:r>
      <w:bookmarkEnd w:id="13"/>
    </w:p>
    <w:p w14:paraId="2D0926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7325" cy="724535"/>
            <wp:effectExtent l="0" t="0" r="5715" b="6985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B58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单击【解除绑定】按钮，即可解除账号和CA的绑定。</w:t>
      </w:r>
    </w:p>
    <w:p w14:paraId="7600A5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</w:p>
    <w:p w14:paraId="387AA822">
      <w:pPr>
        <w:pStyle w:val="3"/>
        <w:bidi w:val="0"/>
        <w:rPr>
          <w:rFonts w:hint="eastAsia"/>
          <w:lang w:val="en-US" w:eastAsia="zh-CN"/>
        </w:rPr>
      </w:pPr>
      <w:bookmarkStart w:id="14" w:name="_Toc23617"/>
      <w:bookmarkStart w:id="15" w:name="_参与项目"/>
      <w:r>
        <w:rPr>
          <w:rFonts w:hint="eastAsia"/>
          <w:lang w:val="en-US" w:eastAsia="zh-CN"/>
        </w:rPr>
        <w:t>查看公告</w:t>
      </w:r>
      <w:bookmarkEnd w:id="14"/>
    </w:p>
    <w:p w14:paraId="693708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登录账号之后，可以查看平台发布的所有项目。</w:t>
      </w:r>
    </w:p>
    <w:p w14:paraId="4C9BA7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92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19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E1D1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此时只可以查看项目的招标公告，如果决定参与项目，这点击立即参与。</w:t>
      </w:r>
    </w:p>
    <w:p w14:paraId="5FB497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5265420" cy="2830830"/>
            <wp:effectExtent l="0" t="0" r="0" b="3810"/>
            <wp:docPr id="93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图片 20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DA6204">
      <w:pPr>
        <w:pStyle w:val="3"/>
        <w:bidi w:val="0"/>
        <w:rPr>
          <w:rFonts w:hint="eastAsia"/>
          <w:lang w:val="en-US" w:eastAsia="zh-CN"/>
        </w:rPr>
      </w:pPr>
      <w:bookmarkStart w:id="16" w:name="_Toc17819"/>
      <w:r>
        <w:rPr>
          <w:rFonts w:hint="eastAsia"/>
          <w:lang w:val="en-US" w:eastAsia="zh-CN"/>
        </w:rPr>
        <w:t>参与项目</w:t>
      </w:r>
      <w:bookmarkEnd w:id="16"/>
    </w:p>
    <w:bookmarkEnd w:id="15"/>
    <w:p w14:paraId="7EB842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690" cy="2829560"/>
            <wp:effectExtent l="0" t="0" r="6350" b="5080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2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3846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选择【采购实施】，找到【项目参与】菜单，选择【我要参与】，找到对应的项目，点击【立即参与】。</w:t>
      </w:r>
    </w:p>
    <w:p w14:paraId="4F17BA79">
      <w:pPr>
        <w:pStyle w:val="3"/>
        <w:bidi w:val="0"/>
        <w:rPr>
          <w:rFonts w:hint="default"/>
          <w:lang w:val="en-US" w:eastAsia="zh-CN"/>
        </w:rPr>
      </w:pPr>
      <w:bookmarkStart w:id="17" w:name="_Toc14039"/>
      <w:bookmarkStart w:id="18" w:name="_购买文件"/>
      <w:r>
        <w:rPr>
          <w:rFonts w:hint="eastAsia"/>
          <w:lang w:val="en-US" w:eastAsia="zh-CN"/>
        </w:rPr>
        <w:t>购买文件</w:t>
      </w:r>
      <w:bookmarkEnd w:id="17"/>
    </w:p>
    <w:bookmarkEnd w:id="18"/>
    <w:p w14:paraId="07DCFB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690" cy="1028700"/>
            <wp:effectExtent l="0" t="0" r="6350" b="0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73B3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参加项目之后，该项目转移到【我的项目】菜单页下面。单击【购买文件】即可购买。如果</w:t>
      </w:r>
      <w:r>
        <w:t>招标文件</w:t>
      </w:r>
      <w:r>
        <w:rPr>
          <w:rFonts w:hint="eastAsia"/>
          <w:lang w:val="en-US" w:eastAsia="zh-CN"/>
        </w:rPr>
        <w:t>不需要购买，则在流程上会跳过此步骤。</w:t>
      </w:r>
    </w:p>
    <w:p w14:paraId="3C042C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1135" cy="2633980"/>
            <wp:effectExtent l="0" t="0" r="1905" b="2540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63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6B1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1135" cy="1075055"/>
            <wp:effectExtent l="0" t="0" r="1905" b="6985"/>
            <wp:docPr id="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07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88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购标详情中填写标注为红色星号的必填项，然后点击提交订单。</w:t>
      </w:r>
    </w:p>
    <w:p w14:paraId="11572FBA">
      <w:pPr>
        <w:pStyle w:val="4"/>
        <w:bidi w:val="0"/>
        <w:rPr>
          <w:rFonts w:hint="default"/>
          <w:lang w:val="en-US" w:eastAsia="zh-CN"/>
        </w:rPr>
      </w:pPr>
      <w:bookmarkStart w:id="19" w:name="_Toc26233"/>
      <w:r>
        <w:rPr>
          <w:rFonts w:hint="eastAsia"/>
          <w:lang w:val="en-US" w:eastAsia="zh-CN"/>
        </w:rPr>
        <w:t>线下支付</w:t>
      </w:r>
      <w:bookmarkEnd w:id="19"/>
    </w:p>
    <w:p w14:paraId="1E335D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支付环节有两种方式，分为线下支付和线上支付。线下支付需要按照招标公告里面要求将进行打款，上传打款凭证，点击提交即可。</w:t>
      </w:r>
    </w:p>
    <w:p w14:paraId="40A02C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84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12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947B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如果单击【提交订单】，提示请检查购标人信息是否完整，单击【修改购标人信息】，填写必要的信息。</w:t>
      </w:r>
    </w:p>
    <w:p w14:paraId="7AF229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85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图片 13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F325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购标人姓名、手机号、邮箱必填。</w:t>
      </w:r>
    </w:p>
    <w:p w14:paraId="3D217A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86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14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BDA5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正常提交之后，可以看到订单状态。</w:t>
      </w:r>
    </w:p>
    <w:p w14:paraId="545EA1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1135" cy="3112135"/>
            <wp:effectExtent l="0" t="0" r="1905" b="4445"/>
            <wp:docPr id="1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9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11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485B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购标完成之后，需要采购经理进行复核。具体操作详见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"01项目经理简易操作手册.docx"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7"/>
          <w:rFonts w:hint="eastAsia"/>
          <w:lang w:val="en-US" w:eastAsia="zh-CN"/>
        </w:rPr>
        <w:t>01项目经理简易操作手册.docx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中1.4.1 购标复核章节。</w:t>
      </w:r>
    </w:p>
    <w:p w14:paraId="383550B7">
      <w:pPr>
        <w:pStyle w:val="4"/>
        <w:bidi w:val="0"/>
        <w:rPr>
          <w:rFonts w:hint="default"/>
          <w:lang w:val="en-US" w:eastAsia="zh-CN"/>
        </w:rPr>
      </w:pPr>
      <w:bookmarkStart w:id="20" w:name="_Toc27653"/>
      <w:r>
        <w:rPr>
          <w:rFonts w:hint="eastAsia"/>
          <w:lang w:val="en-US" w:eastAsia="zh-CN"/>
        </w:rPr>
        <w:t>线上支付</w:t>
      </w:r>
      <w:bookmarkEnd w:id="20"/>
    </w:p>
    <w:p w14:paraId="38404D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选择线上支付，然后单击【提交订单】。</w:t>
      </w:r>
    </w:p>
    <w:p w14:paraId="192462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87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15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5D50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选择【银联支付】，单击【去支付】。</w:t>
      </w:r>
    </w:p>
    <w:p w14:paraId="222CCC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88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1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D437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90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17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CA84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扫码支付即可。</w:t>
      </w:r>
    </w:p>
    <w:p w14:paraId="2AABCBED">
      <w:pPr>
        <w:pStyle w:val="3"/>
        <w:bidi w:val="0"/>
        <w:rPr>
          <w:rFonts w:hint="default"/>
          <w:lang w:val="en-US" w:eastAsia="zh-CN"/>
        </w:rPr>
      </w:pPr>
      <w:bookmarkStart w:id="21" w:name="_Toc700"/>
      <w:bookmarkStart w:id="22" w:name="_文件下载"/>
      <w:r>
        <w:rPr>
          <w:rFonts w:hint="eastAsia"/>
          <w:lang w:val="en-US" w:eastAsia="zh-CN"/>
        </w:rPr>
        <w:t>文件下载</w:t>
      </w:r>
      <w:bookmarkEnd w:id="21"/>
    </w:p>
    <w:bookmarkEnd w:id="22"/>
    <w:p w14:paraId="2D51E5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扫码支付完成或者等待采购经理复核完成购买文件订单之后，供应上可以进行招标文件下载。</w:t>
      </w:r>
    </w:p>
    <w:p w14:paraId="070EE8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5266690" cy="1013460"/>
            <wp:effectExtent l="0" t="0" r="6350" b="0"/>
            <wp:docPr id="1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12B7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单击【文件下载】按钮，下载标书文件。</w:t>
      </w:r>
    </w:p>
    <w:p w14:paraId="73A5D2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</w:pPr>
      <w:r>
        <w:drawing>
          <wp:inline distT="0" distB="0" distL="114300" distR="114300">
            <wp:extent cx="1565910" cy="232410"/>
            <wp:effectExtent l="0" t="0" r="3810" b="3810"/>
            <wp:docPr id="1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565910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F232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下载的招标文件是一个zip文件。</w:t>
      </w:r>
    </w:p>
    <w:p w14:paraId="409A4E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0500" cy="941070"/>
            <wp:effectExtent l="0" t="0" r="2540" b="3810"/>
            <wp:docPr id="1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941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3D6B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里面是标书的word和pdf版本以及一个ebid校验文件。</w:t>
      </w:r>
    </w:p>
    <w:p w14:paraId="1E1984F8">
      <w:pPr>
        <w:pStyle w:val="3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文件澄清</w:t>
      </w:r>
    </w:p>
    <w:p w14:paraId="4C6D007D"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提出问题</w:t>
      </w:r>
    </w:p>
    <w:p w14:paraId="41A2BD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在【我提出的问题】tab页面上，点击【提交问题】按钮，提交需要询问的问题。</w:t>
      </w:r>
    </w:p>
    <w:p w14:paraId="149562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8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图片 1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60BB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红色*必填，填完之会后点击【提交】按钮。</w:t>
      </w:r>
    </w:p>
    <w:p w14:paraId="543F3E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8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2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A81A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提交之后，可以查看该问题的处理状态。</w:t>
      </w:r>
    </w:p>
    <w:p w14:paraId="45AD34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9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图片 3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240C8A"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澄清回复</w:t>
      </w:r>
    </w:p>
    <w:p w14:paraId="0232FB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在【回复/澄清】页面，如果有未确认澄清，需要先确认，再查看澄清内容，点击【确认】按钮，进行澄清确认。</w:t>
      </w:r>
    </w:p>
    <w:p w14:paraId="71CE1F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9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图片 1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C038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上传澄清文件文本，</w:t>
      </w:r>
    </w:p>
    <w:p w14:paraId="3B1833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5265420" cy="2830830"/>
            <wp:effectExtent l="0" t="0" r="0" b="3810"/>
            <wp:docPr id="9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图片 2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C3C6E7">
      <w:pPr>
        <w:pStyle w:val="3"/>
        <w:bidi w:val="0"/>
        <w:rPr>
          <w:rFonts w:hint="default"/>
          <w:lang w:val="en-US" w:eastAsia="zh-CN"/>
        </w:rPr>
      </w:pPr>
      <w:bookmarkStart w:id="23" w:name="_Toc23156"/>
      <w:r>
        <w:rPr>
          <w:rFonts w:hint="eastAsia"/>
          <w:lang w:val="en-US" w:eastAsia="zh-CN"/>
        </w:rPr>
        <w:t>标书制作</w:t>
      </w:r>
      <w:bookmarkEnd w:id="23"/>
      <w:r>
        <w:rPr>
          <w:rFonts w:hint="eastAsia"/>
          <w:lang w:val="en-US" w:eastAsia="zh-CN"/>
        </w:rPr>
        <w:t>客户端使用</w:t>
      </w:r>
    </w:p>
    <w:p w14:paraId="0EB50C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招标项目需要使用客户端和对应的ukey制作投标项目。在使用客户端制作标书之前，需要将ukey插入到到电脑。</w:t>
      </w:r>
    </w:p>
    <w:p w14:paraId="3CFF09BA"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创建招标文件</w:t>
      </w:r>
    </w:p>
    <w:p w14:paraId="6AD07828">
      <w:pPr>
        <w:pStyle w:val="5"/>
        <w:bidi w:val="0"/>
        <w:rPr>
          <w:rFonts w:hint="default"/>
          <w:lang w:val="en-US" w:eastAsia="zh-CN"/>
        </w:rPr>
      </w:pPr>
      <w:bookmarkStart w:id="24" w:name="_Toc31030"/>
      <w:r>
        <w:rPr>
          <w:rFonts w:hint="eastAsia"/>
          <w:lang w:val="en-US" w:eastAsia="zh-CN"/>
        </w:rPr>
        <w:t>招标文件编制</w:t>
      </w:r>
      <w:bookmarkEnd w:id="24"/>
    </w:p>
    <w:p w14:paraId="300CE738">
      <w:pPr>
        <w:pStyle w:val="6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创建投标文件</w:t>
      </w:r>
    </w:p>
    <w:p w14:paraId="2E6E44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9230" cy="2961640"/>
            <wp:effectExtent l="0" t="0" r="3810" b="2540"/>
            <wp:docPr id="1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2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96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C4BA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打开客户端，选择【创建投标文件】，再点击【选择文件】，选择1.5文件下载章节下载下来的ebid校验文件。</w:t>
      </w:r>
    </w:p>
    <w:p w14:paraId="3224D0EC">
      <w:pPr>
        <w:pStyle w:val="6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投标专用表单编辑</w:t>
      </w:r>
    </w:p>
    <w:p w14:paraId="4D4D3E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055" cy="3388995"/>
            <wp:effectExtent l="0" t="0" r="6985" b="1905"/>
            <wp:docPr id="1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3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0B7B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填写【开标一览表】菜单信息，然后单击确认完成。</w:t>
      </w:r>
    </w:p>
    <w:p w14:paraId="713883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055" cy="3388995"/>
            <wp:effectExtent l="0" t="0" r="6985" b="1905"/>
            <wp:docPr id="1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4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A124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输入CA密码，然后点击【确认完成】</w:t>
      </w:r>
    </w:p>
    <w:p w14:paraId="12F48E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055" cy="3388995"/>
            <wp:effectExtent l="0" t="0" r="6985" b="1905"/>
            <wp:docPr id="1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5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1EA4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填完的【开标一览表】前面有</w:t>
      </w:r>
      <w:r>
        <w:drawing>
          <wp:inline distT="0" distB="0" distL="114300" distR="114300">
            <wp:extent cx="255270" cy="224790"/>
            <wp:effectExtent l="0" t="0" r="3810" b="3810"/>
            <wp:docPr id="1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6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55270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，表示已经填写完成。</w:t>
      </w:r>
    </w:p>
    <w:p w14:paraId="410276A9">
      <w:pPr>
        <w:pStyle w:val="6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投标文件编辑</w:t>
      </w:r>
    </w:p>
    <w:p w14:paraId="5D4B032A">
      <w:pPr>
        <w:pStyle w:val="7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上传pdf文件</w:t>
      </w:r>
    </w:p>
    <w:p w14:paraId="02D3E9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055" cy="3388995"/>
            <wp:effectExtent l="0" t="0" r="6985" b="1905"/>
            <wp:docPr id="1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7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67D6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选择【主pdf】，单击【点此上传】，上传投标文件。</w:t>
      </w:r>
    </w:p>
    <w:p w14:paraId="1229D0F2">
      <w:pPr>
        <w:pStyle w:val="7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合并表单数据</w:t>
      </w:r>
    </w:p>
    <w:p w14:paraId="224F77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3040" cy="3392805"/>
            <wp:effectExtent l="0" t="0" r="0" b="5715"/>
            <wp:docPr id="9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图片 3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39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18BE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点击【合并表单数据】，把【开标一览表】填写的表单和现在上传的招标文件拼接在一起。</w:t>
      </w:r>
    </w:p>
    <w:p w14:paraId="029AFF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drawing>
          <wp:inline distT="0" distB="0" distL="114300" distR="114300">
            <wp:extent cx="5273040" cy="3392805"/>
            <wp:effectExtent l="0" t="0" r="0" b="5715"/>
            <wp:docPr id="10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图片 4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39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466F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在是否合并一列可以看到状态变为“是”，单击【查看】按钮，可以合并后的表单。</w:t>
      </w:r>
    </w:p>
    <w:p w14:paraId="59D91A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drawing>
          <wp:inline distT="0" distB="0" distL="114300" distR="114300">
            <wp:extent cx="5266690" cy="2081530"/>
            <wp:effectExtent l="0" t="0" r="6350" b="6350"/>
            <wp:docPr id="9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图片 2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08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888A6">
      <w:pPr>
        <w:pStyle w:val="7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签章</w:t>
      </w:r>
    </w:p>
    <w:p w14:paraId="4330BD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3040" cy="3392805"/>
            <wp:effectExtent l="0" t="0" r="0" b="5715"/>
            <wp:docPr id="10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图片 5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39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3737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</w:pPr>
      <w:r>
        <w:rPr>
          <w:rFonts w:hint="eastAsia"/>
          <w:lang w:val="en-US" w:eastAsia="zh-CN"/>
        </w:rPr>
        <w:t>单击【签章】按钮，进行签章。</w:t>
      </w:r>
    </w:p>
    <w:p w14:paraId="3AA392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5265420" cy="3153410"/>
            <wp:effectExtent l="0" t="0" r="0" b="1270"/>
            <wp:docPr id="10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图片 6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15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6094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在需要盖章的位置进行盖章，盖完章之后，需要输入CA密码。</w:t>
      </w:r>
    </w:p>
    <w:p w14:paraId="0249AC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3153410"/>
            <wp:effectExtent l="0" t="0" r="0" b="1270"/>
            <wp:docPr id="2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15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141A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3153410"/>
            <wp:effectExtent l="0" t="0" r="0" b="1270"/>
            <wp:docPr id="2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15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7D30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单击【验签】，弹出验签成功，然后单击【确认】按钮。</w:t>
      </w:r>
    </w:p>
    <w:p w14:paraId="0FB120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3153410"/>
            <wp:effectExtent l="0" t="0" r="0" b="1270"/>
            <wp:docPr id="2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3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15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0127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单击【保存】按钮，签章完成。</w:t>
      </w:r>
    </w:p>
    <w:p w14:paraId="17C55F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3153410"/>
            <wp:effectExtent l="0" t="0" r="0" b="1270"/>
            <wp:docPr id="2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4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15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4683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单击左上角【关闭】按钮，签章完成。</w:t>
      </w:r>
    </w:p>
    <w:p w14:paraId="219475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3153410"/>
            <wp:effectExtent l="0" t="0" r="0" b="1270"/>
            <wp:docPr id="2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5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15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BC48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单击【确认】按钮，【是否签章】变为是，【已签章】图标点亮。</w:t>
      </w:r>
    </w:p>
    <w:p w14:paraId="44E573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3040" cy="3392805"/>
            <wp:effectExtent l="0" t="0" r="0" b="5715"/>
            <wp:docPr id="104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图片 9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39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41F033">
      <w:pPr>
        <w:pStyle w:val="8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其他签章方式说明</w:t>
      </w:r>
    </w:p>
    <w:p w14:paraId="536AD1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3153410"/>
            <wp:effectExtent l="0" t="0" r="0" b="1270"/>
            <wp:docPr id="3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6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15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6705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A【签章】：一次只能在一个位置签章，每次签章都需要点击一次【签章】按钮，如果只有一个地方需要签章，选择此方法。</w:t>
      </w:r>
    </w:p>
    <w:p w14:paraId="7566EF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B【连签】：一个可以再多个地方签章，不需要每次点击【签章】按钮，如果有多个地方需要签章，选择此方法。</w:t>
      </w:r>
    </w:p>
    <w:p w14:paraId="19C367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C【骑缝】：和现实版骑缝章一样，可以设置多少也该一个章。</w:t>
      </w:r>
    </w:p>
    <w:p w14:paraId="2ADA5F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 w14:paraId="27E5F8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D【批签】：就是在指定页数上，同一个位置一次性签章。</w:t>
      </w:r>
    </w:p>
    <w:p w14:paraId="7D090A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9230" cy="5207635"/>
            <wp:effectExtent l="0" t="0" r="3810" b="4445"/>
            <wp:docPr id="9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图片 7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520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F43F9">
      <w:pPr>
        <w:pStyle w:val="6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附件</w:t>
      </w:r>
    </w:p>
    <w:p w14:paraId="6A0756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055" cy="3388995"/>
            <wp:effectExtent l="0" t="0" r="6985" b="1905"/>
            <wp:docPr id="31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9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0FB2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</w:pPr>
    </w:p>
    <w:p w14:paraId="7FDBA9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对于附件，不是必填项，可以直接点击确认完成。</w:t>
      </w:r>
    </w:p>
    <w:p w14:paraId="23FB2469">
      <w:pPr>
        <w:pStyle w:val="6"/>
        <w:bidi w:val="0"/>
        <w:rPr>
          <w:rStyle w:val="19"/>
          <w:rFonts w:hint="default"/>
          <w:b/>
          <w:lang w:val="en-US" w:eastAsia="zh-CN"/>
        </w:rPr>
      </w:pPr>
      <w:bookmarkStart w:id="25" w:name="_Toc3594"/>
      <w:r>
        <w:rPr>
          <w:rFonts w:hint="eastAsia"/>
          <w:lang w:val="en-US" w:eastAsia="zh-CN"/>
        </w:rPr>
        <w:t>关联条款</w:t>
      </w:r>
      <w:bookmarkEnd w:id="25"/>
    </w:p>
    <w:p w14:paraId="1EDFB1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条款关联的作用是，在专家评审的时候，能够方便评审专家快速跳转到与评审条款相关的页面。</w:t>
      </w:r>
    </w:p>
    <w:p w14:paraId="6173A4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055" cy="3388995"/>
            <wp:effectExtent l="0" t="0" r="6985" b="1905"/>
            <wp:docPr id="32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20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4263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单击【开启关联】，在文档页选择对应的文档位置。</w:t>
      </w:r>
    </w:p>
    <w:p w14:paraId="1A181B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5266055" cy="3388995"/>
            <wp:effectExtent l="0" t="0" r="6985" b="1905"/>
            <wp:docPr id="33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21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87D7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在投标书中，依法设立的内容在205，206，207页，当专家审查依法设立条款时，直接跳到205、206、207页。</w:t>
      </w:r>
    </w:p>
    <w:p w14:paraId="0C6D80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在页面调整框中输入205页，点击【跳转】按钮，然后点击需要关联的页面。在左下角可以实时查看评价条款关联到页码。</w:t>
      </w:r>
    </w:p>
    <w:p w14:paraId="1B7E63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055" cy="3388995"/>
            <wp:effectExtent l="0" t="0" r="6985" b="1905"/>
            <wp:docPr id="34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22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2E62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关联完成，点击【确认完成】，完成条款关联。</w:t>
      </w:r>
    </w:p>
    <w:p w14:paraId="3F2CCFC6">
      <w:pPr>
        <w:pStyle w:val="6"/>
        <w:bidi w:val="0"/>
        <w:rPr>
          <w:rFonts w:hint="default"/>
          <w:lang w:val="en-US" w:eastAsia="zh-CN"/>
        </w:rPr>
      </w:pPr>
      <w:bookmarkStart w:id="26" w:name="_Toc21545"/>
      <w:r>
        <w:rPr>
          <w:rFonts w:hint="eastAsia"/>
          <w:lang w:val="en-US" w:eastAsia="zh-CN"/>
        </w:rPr>
        <w:t>生成投标文件</w:t>
      </w:r>
      <w:bookmarkEnd w:id="26"/>
    </w:p>
    <w:p w14:paraId="2CAE34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需要首先创建一个文件夹存放投标文件。</w:t>
      </w:r>
    </w:p>
    <w:p w14:paraId="5076A18C">
      <w:pPr>
        <w:pStyle w:val="7"/>
        <w:bidi w:val="0"/>
        <w:rPr>
          <w:rFonts w:hint="default"/>
          <w:lang w:val="en-US" w:eastAsia="zh-CN"/>
        </w:rPr>
      </w:pPr>
      <w:bookmarkStart w:id="27" w:name="_设置信封密码"/>
      <w:r>
        <w:rPr>
          <w:rFonts w:hint="eastAsia"/>
          <w:lang w:val="en-US" w:eastAsia="zh-CN"/>
        </w:rPr>
        <w:t>设置信封密码</w:t>
      </w:r>
    </w:p>
    <w:bookmarkEnd w:id="27"/>
    <w:p w14:paraId="0B9FD7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5266055" cy="3388995"/>
            <wp:effectExtent l="0" t="0" r="6985" b="1905"/>
            <wp:docPr id="35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23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B90B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单击【生成投标文件】。</w:t>
      </w:r>
    </w:p>
    <w:p w14:paraId="4F62BE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055" cy="3388995"/>
            <wp:effectExtent l="0" t="0" r="6985" b="1905"/>
            <wp:docPr id="36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24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37FD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按照要求输入投标文件加密密码。</w:t>
      </w:r>
    </w:p>
    <w:p w14:paraId="255B442C">
      <w:pPr>
        <w:pStyle w:val="7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生成投标文件</w:t>
      </w:r>
    </w:p>
    <w:p w14:paraId="2B263F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055" cy="3388995"/>
            <wp:effectExtent l="0" t="0" r="6985" b="1905"/>
            <wp:docPr id="37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25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96C0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再次点击生成投标文件。</w:t>
      </w:r>
    </w:p>
    <w:p w14:paraId="06439A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055" cy="3388995"/>
            <wp:effectExtent l="0" t="0" r="6985" b="1905"/>
            <wp:docPr id="38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26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A581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输入CA密码。</w:t>
      </w:r>
    </w:p>
    <w:p w14:paraId="7EB0E2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2405" cy="3289935"/>
            <wp:effectExtent l="0" t="0" r="635" b="1905"/>
            <wp:docPr id="39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27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28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4F9E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选择投标文件目录。</w:t>
      </w:r>
    </w:p>
    <w:p w14:paraId="132746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055" cy="3388995"/>
            <wp:effectExtent l="0" t="0" r="6985" b="1905"/>
            <wp:docPr id="40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28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B327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投标文件生成成果。</w:t>
      </w:r>
    </w:p>
    <w:p w14:paraId="104598AA"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创建资格申请文件</w:t>
      </w:r>
    </w:p>
    <w:p w14:paraId="4B3B84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3040" cy="3392805"/>
            <wp:effectExtent l="0" t="0" r="0" b="5715"/>
            <wp:docPr id="10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图片 10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39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68FB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步骤与2.8.1.创建招标文件一样。</w:t>
      </w:r>
    </w:p>
    <w:p w14:paraId="28E6CB30"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重新生成密码</w:t>
      </w:r>
    </w:p>
    <w:p w14:paraId="4FA30B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重新生成PDF信封密码。</w:t>
      </w:r>
    </w:p>
    <w:p w14:paraId="3E74DA70"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招标文件解密验证</w:t>
      </w:r>
    </w:p>
    <w:p w14:paraId="4AB221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使用ukey对加密文件进行解密验证。</w:t>
      </w:r>
    </w:p>
    <w:p w14:paraId="624DA295"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PDF文件签章</w:t>
      </w:r>
    </w:p>
    <w:p w14:paraId="696F04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3040" cy="3392805"/>
            <wp:effectExtent l="0" t="0" r="0" b="5715"/>
            <wp:docPr id="106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图片 11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39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EF4C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对PDF文件进行签章。操作同2.8.1.创建招标文件一样。</w:t>
      </w:r>
    </w:p>
    <w:p w14:paraId="4E9F04E8">
      <w:pPr>
        <w:pStyle w:val="4"/>
        <w:bidi w:val="0"/>
        <w:rPr>
          <w:rFonts w:hint="default"/>
          <w:lang w:val="en-US" w:eastAsia="zh-CN"/>
        </w:rPr>
      </w:pPr>
      <w:bookmarkStart w:id="28" w:name="_Toc11558"/>
      <w:bookmarkStart w:id="29" w:name="_查看投标文件"/>
      <w:r>
        <w:rPr>
          <w:rFonts w:hint="eastAsia"/>
          <w:lang w:val="en-US" w:eastAsia="zh-CN"/>
        </w:rPr>
        <w:t>查看投标文件</w:t>
      </w:r>
      <w:bookmarkEnd w:id="28"/>
    </w:p>
    <w:bookmarkEnd w:id="29"/>
    <w:p w14:paraId="3230F9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8595" cy="977265"/>
            <wp:effectExtent l="0" t="0" r="4445" b="5715"/>
            <wp:docPr id="41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29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97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8E96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Txt文件中，保存的时1.6.3生成投标文件章节中设置的信封密码。</w:t>
      </w:r>
    </w:p>
    <w:p w14:paraId="1E1BF5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2487930" cy="472440"/>
            <wp:effectExtent l="0" t="0" r="3810" b="0"/>
            <wp:docPr id="42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30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2487930" cy="47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9524A5">
      <w:pPr>
        <w:pStyle w:val="3"/>
        <w:bidi w:val="0"/>
        <w:rPr>
          <w:rFonts w:hint="default"/>
          <w:lang w:val="en-US" w:eastAsia="zh-CN"/>
        </w:rPr>
      </w:pPr>
      <w:bookmarkStart w:id="30" w:name="_Toc13455"/>
      <w:r>
        <w:rPr>
          <w:rFonts w:hint="eastAsia"/>
          <w:lang w:val="en-US" w:eastAsia="zh-CN"/>
        </w:rPr>
        <w:t>递交投标文件</w:t>
      </w:r>
      <w:bookmarkEnd w:id="30"/>
    </w:p>
    <w:p w14:paraId="355065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0975" cy="1009650"/>
            <wp:effectExtent l="0" t="0" r="4445" b="3810"/>
            <wp:docPr id="43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31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298C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找到需要递交投标文件的项目，点击【项目工作台】。</w:t>
      </w:r>
    </w:p>
    <w:p w14:paraId="33EA21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690" cy="2829560"/>
            <wp:effectExtent l="0" t="0" r="6350" b="5080"/>
            <wp:docPr id="44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32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2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34EF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上传上一个步骤生成的投标文件，然后点击【递交投标文件】按钮。</w:t>
      </w:r>
    </w:p>
    <w:p w14:paraId="4405EC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drawing>
          <wp:inline distT="0" distB="0" distL="114300" distR="114300">
            <wp:extent cx="5273040" cy="1718945"/>
            <wp:effectExtent l="0" t="0" r="0" b="3175"/>
            <wp:docPr id="45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33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71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>选择上海CA，输入密码。</w:t>
      </w:r>
    </w:p>
    <w:p w14:paraId="3578FC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3040" cy="1273175"/>
            <wp:effectExtent l="0" t="0" r="0" b="6985"/>
            <wp:docPr id="46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34"/>
                    <pic:cNvPicPr>
                      <a:picLocks noChangeAspect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27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9844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单击【递交投标问文件】。</w:t>
      </w:r>
    </w:p>
    <w:p w14:paraId="174246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1770" cy="2578735"/>
            <wp:effectExtent l="0" t="0" r="1270" b="4445"/>
            <wp:docPr id="47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35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57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F4F8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投递成交之后，可以单击【回执查看】查看回执，也可以单击【撤回投标文件】将投递撤回。</w:t>
      </w:r>
    </w:p>
    <w:p w14:paraId="12C571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文件提交之后，等待采购经理那边进行开标操作。</w:t>
      </w:r>
    </w:p>
    <w:p w14:paraId="3C55B3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如果项目不需要使用CA，投递招标文件的时候不需要进行CA校验，直接投递即可。</w:t>
      </w:r>
    </w:p>
    <w:p w14:paraId="21D2F6C8">
      <w:pPr>
        <w:pStyle w:val="3"/>
        <w:bidi w:val="0"/>
        <w:rPr>
          <w:rFonts w:hint="default"/>
          <w:lang w:val="en-US" w:eastAsia="zh-CN"/>
        </w:rPr>
      </w:pPr>
      <w:bookmarkStart w:id="31" w:name="_Toc27106"/>
      <w:r>
        <w:rPr>
          <w:rFonts w:hint="eastAsia"/>
          <w:lang w:val="en-US" w:eastAsia="zh-CN"/>
        </w:rPr>
        <w:t>开标阶段</w:t>
      </w:r>
      <w:bookmarkEnd w:id="31"/>
    </w:p>
    <w:p w14:paraId="6A221292">
      <w:pPr>
        <w:pStyle w:val="4"/>
        <w:bidi w:val="0"/>
        <w:rPr>
          <w:rFonts w:hint="default"/>
          <w:lang w:val="en-US" w:eastAsia="zh-CN"/>
        </w:rPr>
      </w:pPr>
      <w:bookmarkStart w:id="32" w:name="_Toc7985"/>
      <w:r>
        <w:rPr>
          <w:rFonts w:hint="eastAsia"/>
          <w:lang w:val="en-US" w:eastAsia="zh-CN"/>
        </w:rPr>
        <w:t>开标</w:t>
      </w:r>
      <w:bookmarkEnd w:id="32"/>
    </w:p>
    <w:p w14:paraId="705190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开标时间到了之后，供应商应该线上进入开标大厅进行开标。</w:t>
      </w:r>
    </w:p>
    <w:p w14:paraId="220369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1770" cy="1665605"/>
            <wp:effectExtent l="0" t="0" r="1270" b="3175"/>
            <wp:docPr id="48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36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66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BA89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点击【开标大厅】按钮，进入开标大厅。</w:t>
      </w:r>
    </w:p>
    <w:p w14:paraId="0B4D73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7325" cy="2809875"/>
            <wp:effectExtent l="0" t="0" r="5715" b="1905"/>
            <wp:docPr id="5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9"/>
                    <pic:cNvPicPr>
                      <a:picLocks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CF39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选择对应的标段，然后点击下面的门，即可进入，等待采购经理开标。</w:t>
      </w:r>
    </w:p>
    <w:p w14:paraId="376C853E">
      <w:pPr>
        <w:pStyle w:val="4"/>
        <w:bidi w:val="0"/>
        <w:rPr>
          <w:rFonts w:hint="default"/>
          <w:lang w:val="en-US" w:eastAsia="zh-CN"/>
        </w:rPr>
      </w:pPr>
      <w:bookmarkStart w:id="33" w:name="_Toc6044"/>
      <w:r>
        <w:rPr>
          <w:rFonts w:hint="eastAsia"/>
          <w:lang w:val="en-US" w:eastAsia="zh-CN"/>
        </w:rPr>
        <w:t>解密</w:t>
      </w:r>
      <w:bookmarkEnd w:id="33"/>
    </w:p>
    <w:p w14:paraId="3093E5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5267325" cy="2809875"/>
            <wp:effectExtent l="0" t="0" r="5715" b="1905"/>
            <wp:docPr id="52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39"/>
                    <pic:cNvPicPr>
                      <a:picLocks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8E92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采购经理开标之后，会出现解密倒计时，供应商需要在倒计时结束前进行签到。同时解密按钮</w:t>
      </w:r>
      <w:r>
        <w:drawing>
          <wp:inline distT="0" distB="0" distL="114300" distR="114300">
            <wp:extent cx="381000" cy="392430"/>
            <wp:effectExtent l="0" t="0" r="0" b="3810"/>
            <wp:docPr id="53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40"/>
                    <pic:cNvPicPr>
                      <a:picLocks noChangeAspect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9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可以进行点解解密。</w:t>
      </w:r>
    </w:p>
    <w:p w14:paraId="26E8FD87">
      <w:pPr>
        <w:pStyle w:val="5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CA解密</w:t>
      </w:r>
    </w:p>
    <w:p w14:paraId="45E82F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7325" cy="2861310"/>
            <wp:effectExtent l="0" t="0" r="5715" b="3810"/>
            <wp:docPr id="54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41"/>
                    <pic:cNvPicPr>
                      <a:picLocks noChangeAspect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86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FF60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输入CA密码进行解密。</w:t>
      </w:r>
    </w:p>
    <w:p w14:paraId="52D4FAC4">
      <w:pPr>
        <w:pStyle w:val="5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信封密码解密</w:t>
      </w:r>
    </w:p>
    <w:p w14:paraId="1925B8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drawing>
          <wp:inline distT="0" distB="0" distL="114300" distR="114300">
            <wp:extent cx="5267325" cy="2861310"/>
            <wp:effectExtent l="0" t="0" r="5715" b="3810"/>
            <wp:docPr id="56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43"/>
                    <pic:cNvPicPr>
                      <a:picLocks noChangeAspect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86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1A8A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点击其他方式解密，可以选择信封密码解密。信封密码设置详见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"_设置信封密码"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8"/>
          <w:rFonts w:hint="eastAsia"/>
          <w:lang w:val="en-US" w:eastAsia="zh-CN"/>
        </w:rPr>
        <w:t>1.6.3.1.设置信封密码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，信封密码查看，详见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"_查看投标文件"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8"/>
          <w:rFonts w:hint="eastAsia"/>
          <w:lang w:val="en-US" w:eastAsia="zh-CN"/>
        </w:rPr>
        <w:t>1.7.查看投标文件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。</w:t>
      </w:r>
    </w:p>
    <w:p w14:paraId="549169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7325" cy="2861310"/>
            <wp:effectExtent l="0" t="0" r="5715" b="3810"/>
            <wp:docPr id="57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44"/>
                    <pic:cNvPicPr>
                      <a:picLocks noChangeAspect="1"/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86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2F2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输入信封密码直接进行解密。</w:t>
      </w:r>
    </w:p>
    <w:p w14:paraId="653214F9">
      <w:pPr>
        <w:pStyle w:val="5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查看开标记录</w:t>
      </w:r>
    </w:p>
    <w:p w14:paraId="457098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5267325" cy="2861310"/>
            <wp:effectExtent l="0" t="0" r="5715" b="3810"/>
            <wp:docPr id="58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45"/>
                    <pic:cNvPicPr>
                      <a:picLocks noChangeAspect="1"/>
                    </pic:cNvPicPr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86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4EF1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单击【查看开标记录表】可以查看开标记录，只能查看自己的开标记录。等待采购经理发送开关记录表，可以查看供应商的报价表。</w:t>
      </w:r>
    </w:p>
    <w:p w14:paraId="51AF53B5">
      <w:pPr>
        <w:pStyle w:val="5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签名</w:t>
      </w:r>
    </w:p>
    <w:p w14:paraId="11707A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0340" cy="2743200"/>
            <wp:effectExtent l="0" t="0" r="5080" b="0"/>
            <wp:docPr id="59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46"/>
                    <pic:cNvPicPr>
                      <a:picLocks noChangeAspect="1"/>
                    </pic:cNvPicPr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309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采购经理发送开标记录表之后，供应商可以查看所有参与者的报价。然后对结果进行起签名。</w:t>
      </w:r>
    </w:p>
    <w:p w14:paraId="3AEDBA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7325" cy="2809875"/>
            <wp:effectExtent l="0" t="0" r="5715" b="1905"/>
            <wp:docPr id="60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47"/>
                    <pic:cNvPicPr>
                      <a:picLocks noChangeAspect="1"/>
                    </pic:cNvPicPr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1A1B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点击</w:t>
      </w:r>
      <w:r>
        <w:drawing>
          <wp:inline distT="0" distB="0" distL="114300" distR="114300">
            <wp:extent cx="381000" cy="381000"/>
            <wp:effectExtent l="0" t="0" r="0" b="0"/>
            <wp:docPr id="61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48"/>
                    <pic:cNvPicPr>
                      <a:picLocks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t>。</w:t>
      </w:r>
    </w:p>
    <w:p w14:paraId="3E8541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7325" cy="2861310"/>
            <wp:effectExtent l="0" t="0" r="5715" b="3810"/>
            <wp:docPr id="62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49"/>
                    <pic:cNvPicPr>
                      <a:picLocks noChangeAspect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86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035E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对开标结果进行签名。</w:t>
      </w:r>
    </w:p>
    <w:p w14:paraId="6B0660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7325" cy="2861310"/>
            <wp:effectExtent l="0" t="0" r="5715" b="3810"/>
            <wp:docPr id="63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50"/>
                    <pic:cNvPicPr>
                      <a:picLocks noChangeAspect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86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4A21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需要使用CA锁进行签名。</w:t>
      </w:r>
    </w:p>
    <w:p w14:paraId="166E3A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8595" cy="3096895"/>
            <wp:effectExtent l="0" t="0" r="4445" b="4445"/>
            <wp:docPr id="64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51"/>
                    <pic:cNvPicPr>
                      <a:picLocks noChangeAspect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09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5109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会弹出联系方式确认框，将结果发送到对应手机。</w:t>
      </w:r>
    </w:p>
    <w:p w14:paraId="64FD8D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</w:p>
    <w:p w14:paraId="6A3211B2">
      <w:pPr>
        <w:pStyle w:val="3"/>
        <w:bidi w:val="0"/>
        <w:rPr>
          <w:rFonts w:hint="default"/>
          <w:lang w:val="en-US" w:eastAsia="zh-CN"/>
        </w:rPr>
      </w:pPr>
      <w:bookmarkStart w:id="34" w:name="_Toc23749"/>
      <w:r>
        <w:rPr>
          <w:rFonts w:hint="eastAsia"/>
          <w:lang w:val="en-US" w:eastAsia="zh-CN"/>
        </w:rPr>
        <w:t>定标阶段</w:t>
      </w:r>
      <w:bookmarkEnd w:id="34"/>
    </w:p>
    <w:p w14:paraId="6A1775A7">
      <w:pPr>
        <w:pStyle w:val="4"/>
        <w:bidi w:val="0"/>
        <w:rPr>
          <w:rFonts w:hint="default"/>
          <w:lang w:val="en-US" w:eastAsia="zh-CN"/>
        </w:rPr>
      </w:pPr>
      <w:bookmarkStart w:id="35" w:name="_Toc23483"/>
      <w:r>
        <w:t>中标候选人公示查看</w:t>
      </w:r>
      <w:bookmarkEnd w:id="35"/>
    </w:p>
    <w:p w14:paraId="4C46E6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1770" cy="2546350"/>
            <wp:effectExtent l="0" t="0" r="1270" b="6350"/>
            <wp:docPr id="2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"/>
                    <pic:cNvPicPr>
                      <a:picLocks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54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B3E1F1">
      <w:pPr>
        <w:pStyle w:val="4"/>
        <w:bidi w:val="0"/>
      </w:pPr>
      <w:bookmarkStart w:id="36" w:name="_Toc9848"/>
      <w:r>
        <w:t>中标结果公告查看</w:t>
      </w:r>
      <w:bookmarkEnd w:id="36"/>
    </w:p>
    <w:p w14:paraId="3B573B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1770" cy="2582545"/>
            <wp:effectExtent l="0" t="0" r="1270" b="635"/>
            <wp:docPr id="2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"/>
                    <pic:cNvPicPr>
                      <a:picLocks noChangeAspect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58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6C3039">
      <w:pPr>
        <w:pStyle w:val="4"/>
        <w:bidi w:val="0"/>
        <w:rPr>
          <w:rFonts w:hint="default"/>
          <w:lang w:val="en-US" w:eastAsia="zh-CN"/>
        </w:rPr>
      </w:pPr>
      <w:bookmarkStart w:id="37" w:name="_Toc5778"/>
      <w:r>
        <w:t>中标通知书查看</w:t>
      </w:r>
      <w:bookmarkEnd w:id="37"/>
    </w:p>
    <w:p w14:paraId="2D429E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5271770" cy="2637155"/>
            <wp:effectExtent l="0" t="0" r="1270" b="6985"/>
            <wp:docPr id="2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3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63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16C7A5">
      <w:pPr>
        <w:pStyle w:val="3"/>
        <w:bidi w:val="0"/>
        <w:rPr>
          <w:rFonts w:hint="default"/>
          <w:lang w:val="en-US" w:eastAsia="zh-CN"/>
        </w:rPr>
      </w:pPr>
      <w:bookmarkStart w:id="38" w:name="_Toc8133"/>
      <w:r>
        <w:rPr>
          <w:rFonts w:hint="eastAsia"/>
          <w:lang w:val="en-US" w:eastAsia="zh-CN"/>
        </w:rPr>
        <w:t>费用阶段</w:t>
      </w:r>
      <w:bookmarkEnd w:id="38"/>
    </w:p>
    <w:p w14:paraId="6405963A">
      <w:pPr>
        <w:pStyle w:val="4"/>
        <w:bidi w:val="0"/>
        <w:rPr>
          <w:rFonts w:hint="default"/>
          <w:lang w:val="en-US" w:eastAsia="zh-CN"/>
        </w:rPr>
      </w:pPr>
      <w:bookmarkStart w:id="39" w:name="_Toc22618"/>
      <w:r>
        <w:rPr>
          <w:rFonts w:hint="eastAsia"/>
          <w:lang w:val="en-US" w:eastAsia="zh-CN"/>
        </w:rPr>
        <w:t>保证金管理</w:t>
      </w:r>
      <w:bookmarkEnd w:id="39"/>
    </w:p>
    <w:p w14:paraId="4BA6EC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055" cy="1772285"/>
            <wp:effectExtent l="0" t="0" r="6985" b="3175"/>
            <wp:docPr id="66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53"/>
                    <pic:cNvPicPr>
                      <a:picLocks noChangeAspect="1"/>
                    </pic:cNvPicPr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177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A8C0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单击【保证金管理】，选择一种保证金支付方式，这里选择支付方式。</w:t>
      </w:r>
    </w:p>
    <w:p w14:paraId="085A3E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 w14:paraId="0E5E1F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drawing>
          <wp:inline distT="0" distB="0" distL="114300" distR="114300">
            <wp:extent cx="5271770" cy="2399030"/>
            <wp:effectExtent l="0" t="0" r="1270" b="1270"/>
            <wp:docPr id="65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52"/>
                    <pic:cNvPicPr>
                      <a:picLocks noChangeAspect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39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0113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线下汇款之后，需要上传凭证，单击【保证金递交复核申请】按钮继续凭证上传。</w:t>
      </w:r>
    </w:p>
    <w:p w14:paraId="7B5B17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7325" cy="2593975"/>
            <wp:effectExtent l="0" t="0" r="5715" b="4445"/>
            <wp:docPr id="67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54"/>
                    <pic:cNvPicPr>
                      <a:picLocks noChangeAspect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59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BB82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填写凭证信息和上传凭证，点击【提交复核】。</w:t>
      </w:r>
    </w:p>
    <w:p w14:paraId="3DA914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055" cy="2781300"/>
            <wp:effectExtent l="0" t="0" r="6985" b="0"/>
            <wp:docPr id="68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55"/>
                    <pic:cNvPicPr>
                      <a:picLocks noChangeAspect="1"/>
                    </pic:cNvPicPr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A3E5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提交【复核】之后，需要财务进行审核，采购经理和供应商可以查看进度。</w:t>
      </w:r>
    </w:p>
    <w:p w14:paraId="3988CF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5260975" cy="2159000"/>
            <wp:effectExtent l="0" t="0" r="4445" b="5080"/>
            <wp:docPr id="69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56"/>
                    <pic:cNvPicPr>
                      <a:picLocks noChangeAspect="1"/>
                    </pic:cNvPicPr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15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2D7A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 w14:paraId="4006CE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单击【查看汇交记录】，可以查看状态。</w:t>
      </w:r>
    </w:p>
    <w:p w14:paraId="1BA92B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5266690" cy="887095"/>
            <wp:effectExtent l="0" t="0" r="6350" b="4445"/>
            <wp:docPr id="70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57"/>
                    <pic:cNvPicPr>
                      <a:picLocks noChangeAspect="1"/>
                    </pic:cNvPicPr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88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D1482">
      <w:pPr>
        <w:pStyle w:val="4"/>
        <w:bidi w:val="0"/>
        <w:rPr>
          <w:rFonts w:hint="default"/>
          <w:lang w:val="en-US" w:eastAsia="zh-CN"/>
        </w:rPr>
      </w:pPr>
      <w:bookmarkStart w:id="40" w:name="_Toc20480"/>
      <w:r>
        <w:rPr>
          <w:rFonts w:hint="eastAsia"/>
          <w:lang w:val="en-US" w:eastAsia="zh-CN"/>
        </w:rPr>
        <w:t>查看复核状态</w:t>
      </w:r>
      <w:bookmarkEnd w:id="40"/>
    </w:p>
    <w:p w14:paraId="21041A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690" cy="2829560"/>
            <wp:effectExtent l="0" t="0" r="6350" b="508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2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DE10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点击【查看汇款记录】，可以看到复核状态。</w:t>
      </w:r>
    </w:p>
    <w:p w14:paraId="3C70856F">
      <w:pPr>
        <w:pStyle w:val="2"/>
        <w:bidi w:val="0"/>
        <w:rPr>
          <w:rFonts w:hint="default"/>
          <w:lang w:val="en-US" w:eastAsia="zh-CN"/>
        </w:rPr>
      </w:pPr>
      <w:bookmarkStart w:id="41" w:name="_Toc27410"/>
      <w:bookmarkStart w:id="42" w:name="_邀请招标"/>
      <w:r>
        <w:rPr>
          <w:rFonts w:hint="eastAsia"/>
          <w:lang w:val="en-US" w:eastAsia="zh-CN"/>
        </w:rPr>
        <w:t>邀请招标</w:t>
      </w:r>
      <w:bookmarkEnd w:id="41"/>
    </w:p>
    <w:bookmarkEnd w:id="42"/>
    <w:p w14:paraId="73C795E4">
      <w:pPr>
        <w:pStyle w:val="3"/>
        <w:bidi w:val="0"/>
        <w:rPr>
          <w:rFonts w:hint="default"/>
          <w:lang w:val="en-US" w:eastAsia="zh-CN"/>
        </w:rPr>
      </w:pPr>
      <w:bookmarkStart w:id="43" w:name="_Toc8509"/>
      <w:r>
        <w:rPr>
          <w:rFonts w:hint="eastAsia"/>
          <w:lang w:val="en-US" w:eastAsia="zh-CN"/>
        </w:rPr>
        <w:t>项目参与</w:t>
      </w:r>
      <w:bookmarkEnd w:id="43"/>
    </w:p>
    <w:p w14:paraId="0F1F00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供应商操作，参考公开招标流程，唯一的区别就是公开招标中1.3参加项目章节有点不一样，邀请招标是邀请回执。</w:t>
      </w:r>
    </w:p>
    <w:p w14:paraId="5C615B2B">
      <w:pPr>
        <w:pStyle w:val="4"/>
        <w:bidi w:val="0"/>
        <w:rPr>
          <w:rFonts w:hint="default"/>
          <w:lang w:val="en-US" w:eastAsia="zh-CN"/>
        </w:rPr>
      </w:pPr>
      <w:bookmarkStart w:id="44" w:name="_Toc69"/>
      <w:bookmarkStart w:id="45" w:name="_邀请回执"/>
      <w:r>
        <w:rPr>
          <w:rFonts w:hint="eastAsia"/>
          <w:lang w:val="en-US" w:eastAsia="zh-CN"/>
        </w:rPr>
        <w:t>邀请回执</w:t>
      </w:r>
      <w:bookmarkEnd w:id="44"/>
    </w:p>
    <w:bookmarkEnd w:id="45"/>
    <w:p w14:paraId="24835A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690" cy="1115060"/>
            <wp:effectExtent l="0" t="0" r="6350" b="5080"/>
            <wp:docPr id="2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"/>
                    <pic:cNvPicPr>
                      <a:picLocks noChangeAspect="1"/>
                    </pic:cNvPicPr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11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9C2F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点击【邀请回执】，可以选择接受或者拒绝邀请。</w:t>
      </w:r>
    </w:p>
    <w:p w14:paraId="33C149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1135" cy="2672715"/>
            <wp:effectExtent l="0" t="0" r="1905" b="1905"/>
            <wp:docPr id="4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2"/>
                    <pic:cNvPicPr>
                      <a:picLocks noChangeAspect="1"/>
                    </pic:cNvPicPr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67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C731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其他步骤都一样。</w:t>
      </w:r>
    </w:p>
    <w:p w14:paraId="4DD2C439">
      <w:pPr>
        <w:pStyle w:val="2"/>
        <w:bidi w:val="0"/>
        <w:rPr>
          <w:rFonts w:hint="eastAsia"/>
          <w:lang w:val="en-US" w:eastAsia="zh-CN"/>
        </w:rPr>
      </w:pPr>
      <w:bookmarkStart w:id="46" w:name="_Toc22403"/>
      <w:r>
        <w:rPr>
          <w:rFonts w:hint="eastAsia"/>
          <w:lang w:val="en-US" w:eastAsia="zh-CN"/>
        </w:rPr>
        <w:t>竞价</w:t>
      </w:r>
      <w:bookmarkEnd w:id="46"/>
    </w:p>
    <w:p w14:paraId="3F5D2A64">
      <w:pPr>
        <w:pStyle w:val="3"/>
        <w:bidi w:val="0"/>
        <w:rPr>
          <w:rFonts w:hint="default"/>
          <w:lang w:val="en-US" w:eastAsia="zh-CN"/>
        </w:rPr>
      </w:pPr>
      <w:bookmarkStart w:id="47" w:name="_Toc18941"/>
      <w:r>
        <w:rPr>
          <w:rFonts w:hint="eastAsia"/>
          <w:lang w:val="en-US" w:eastAsia="zh-CN"/>
        </w:rPr>
        <w:t>项目参与</w:t>
      </w:r>
      <w:bookmarkEnd w:id="47"/>
    </w:p>
    <w:p w14:paraId="1C8F26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供应商操作，参考公开招标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"_用户登录"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8"/>
          <w:rFonts w:hint="eastAsia"/>
          <w:lang w:val="en-US" w:eastAsia="zh-CN"/>
        </w:rPr>
        <w:t>1.1 用户登录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，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"_CA操作"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8"/>
          <w:rFonts w:hint="eastAsia"/>
          <w:lang w:val="en-US" w:eastAsia="zh-CN"/>
        </w:rPr>
        <w:t>1.2 CA操作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，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"_参与项目"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8"/>
          <w:rFonts w:hint="eastAsia"/>
          <w:lang w:val="en-US" w:eastAsia="zh-CN"/>
        </w:rPr>
        <w:t>1.3 项目参与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，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"_购买文件"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8"/>
          <w:rFonts w:hint="eastAsia"/>
          <w:lang w:val="en-US" w:eastAsia="zh-CN"/>
        </w:rPr>
        <w:t>1.4购买文件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、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"_文件下载"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8"/>
          <w:rFonts w:hint="eastAsia"/>
          <w:lang w:val="en-US" w:eastAsia="zh-CN"/>
        </w:rPr>
        <w:t>1.5 文件下载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章节，依次操作。</w:t>
      </w:r>
    </w:p>
    <w:p w14:paraId="22418494"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邀请回执</w:t>
      </w:r>
    </w:p>
    <w:p w14:paraId="4DFB9088">
      <w:p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如果为邀请类竞价，需要进行邀请回执回复。详见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"_邀请回执"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8"/>
          <w:rFonts w:hint="eastAsia"/>
          <w:lang w:val="en-US" w:eastAsia="zh-CN"/>
        </w:rPr>
        <w:t>3.1.1.邀请回执章节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。</w:t>
      </w:r>
    </w:p>
    <w:p w14:paraId="32CEC53A">
      <w:pPr>
        <w:pStyle w:val="4"/>
        <w:bidi w:val="0"/>
        <w:rPr>
          <w:rFonts w:hint="default"/>
          <w:lang w:val="en-US" w:eastAsia="zh-CN"/>
        </w:rPr>
      </w:pPr>
      <w:bookmarkStart w:id="48" w:name="_Toc19039"/>
      <w:r>
        <w:rPr>
          <w:rFonts w:hint="eastAsia"/>
          <w:lang w:val="en-US" w:eastAsia="zh-CN"/>
        </w:rPr>
        <w:t>报名</w:t>
      </w:r>
      <w:bookmarkEnd w:id="48"/>
    </w:p>
    <w:p w14:paraId="4516D2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竞价有报名环节，如果采购经理设置了报名环节，则需要进行报名。</w:t>
      </w:r>
    </w:p>
    <w:p w14:paraId="5FC7D5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010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</w:pPr>
      <w:r>
        <w:rPr>
          <w:rFonts w:hint="eastAsia"/>
          <w:lang w:val="en-US" w:eastAsia="zh-CN"/>
        </w:rPr>
        <w:t>报名之后进行提交。</w:t>
      </w:r>
    </w:p>
    <w:p w14:paraId="569BBE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7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2"/>
                    <pic:cNvPicPr>
                      <a:picLocks noChangeAspect="1"/>
                    </pic:cNvPicPr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B125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如果报名审核不通过，可以看到审核意见，重新提交。</w:t>
      </w:r>
    </w:p>
    <w:p w14:paraId="2F56BD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7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3"/>
                    <pic:cNvPicPr>
                      <a:picLocks noChangeAspect="1"/>
                    </pic:cNvPicPr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74311F"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报价</w:t>
      </w:r>
    </w:p>
    <w:p w14:paraId="03C2C7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在参与竞价开始之前，供应下需要进行第一轮报价和提交响应文件</w:t>
      </w:r>
      <w:bookmarkStart w:id="60" w:name="_GoBack"/>
      <w:bookmarkEnd w:id="60"/>
      <w:r>
        <w:rPr>
          <w:rFonts w:hint="eastAsia"/>
          <w:lang w:val="en-US" w:eastAsia="zh-CN"/>
        </w:rPr>
        <w:t>，详细操作详见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"_报价_1"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7"/>
          <w:rFonts w:hint="eastAsia"/>
          <w:lang w:val="en-US" w:eastAsia="zh-CN"/>
        </w:rPr>
        <w:t>5.1报价</w:t>
      </w:r>
      <w:r>
        <w:rPr>
          <w:rFonts w:hint="eastAsia"/>
          <w:lang w:val="en-US" w:eastAsia="zh-CN"/>
        </w:rPr>
        <w:fldChar w:fldCharType="end"/>
      </w:r>
    </w:p>
    <w:p w14:paraId="415093B9">
      <w:pPr>
        <w:pStyle w:val="3"/>
        <w:bidi w:val="0"/>
        <w:rPr>
          <w:rFonts w:hint="default"/>
          <w:lang w:val="en-US" w:eastAsia="zh-CN"/>
        </w:rPr>
      </w:pPr>
      <w:bookmarkStart w:id="49" w:name="_Toc16505"/>
      <w:r>
        <w:rPr>
          <w:rFonts w:hint="eastAsia"/>
          <w:lang w:val="en-US" w:eastAsia="zh-CN"/>
        </w:rPr>
        <w:t>竞价阶段</w:t>
      </w:r>
      <w:bookmarkEnd w:id="49"/>
    </w:p>
    <w:p w14:paraId="4B417163">
      <w:pPr>
        <w:pStyle w:val="4"/>
        <w:bidi w:val="0"/>
        <w:rPr>
          <w:rFonts w:hint="default"/>
          <w:lang w:val="en-US" w:eastAsia="zh-CN"/>
        </w:rPr>
      </w:pPr>
      <w:bookmarkStart w:id="50" w:name="_Toc15450"/>
      <w:r>
        <w:rPr>
          <w:rFonts w:hint="eastAsia"/>
          <w:lang w:val="en-US" w:eastAsia="zh-CN"/>
        </w:rPr>
        <w:t>进入竞价大厅</w:t>
      </w:r>
      <w:bookmarkEnd w:id="50"/>
    </w:p>
    <w:p w14:paraId="74AFC1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690" cy="2299970"/>
            <wp:effectExtent l="0" t="0" r="6350" b="1270"/>
            <wp:docPr id="2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4"/>
                    <pic:cNvPicPr>
                      <a:picLocks noChangeAspect="1"/>
                    </pic:cNvPicPr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29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7C221">
      <w:pPr>
        <w:pStyle w:val="4"/>
        <w:bidi w:val="0"/>
        <w:rPr>
          <w:rFonts w:hint="default"/>
          <w:lang w:val="en-US" w:eastAsia="zh-CN"/>
        </w:rPr>
      </w:pPr>
      <w:bookmarkStart w:id="51" w:name="_Toc8795"/>
      <w:r>
        <w:rPr>
          <w:rFonts w:hint="eastAsia"/>
          <w:lang w:val="en-US" w:eastAsia="zh-CN"/>
        </w:rPr>
        <w:t>竞价开始</w:t>
      </w:r>
      <w:bookmarkEnd w:id="51"/>
    </w:p>
    <w:p w14:paraId="6DC2A2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690" cy="2820035"/>
            <wp:effectExtent l="0" t="0" r="6350" b="6985"/>
            <wp:docPr id="5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7"/>
                    <pic:cNvPicPr>
                      <a:picLocks noChangeAspect="1"/>
                    </pic:cNvPicPr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2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9C9637">
      <w:pPr>
        <w:pStyle w:val="4"/>
        <w:bidi w:val="0"/>
        <w:rPr>
          <w:rFonts w:hint="default"/>
          <w:lang w:val="en-US" w:eastAsia="zh-CN"/>
        </w:rPr>
      </w:pPr>
      <w:bookmarkStart w:id="52" w:name="_Toc18146"/>
      <w:r>
        <w:rPr>
          <w:rFonts w:hint="eastAsia"/>
          <w:lang w:val="en-US" w:eastAsia="zh-CN"/>
        </w:rPr>
        <w:t>竞价结束</w:t>
      </w:r>
      <w:bookmarkEnd w:id="52"/>
    </w:p>
    <w:p w14:paraId="31F0D6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5266690" cy="2829560"/>
            <wp:effectExtent l="0" t="0" r="6350" b="5080"/>
            <wp:docPr id="5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8"/>
                    <pic:cNvPicPr>
                      <a:picLocks noChangeAspect="1"/>
                    </pic:cNvPicPr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2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6CCC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在规定的时间点，竞价就会结束。</w:t>
      </w:r>
    </w:p>
    <w:p w14:paraId="7D87E9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 w14:paraId="3B433EF6">
      <w:pPr>
        <w:pStyle w:val="2"/>
        <w:bidi w:val="0"/>
        <w:rPr>
          <w:rFonts w:hint="eastAsia"/>
          <w:lang w:val="en-US" w:eastAsia="zh-CN"/>
        </w:rPr>
      </w:pPr>
      <w:bookmarkStart w:id="53" w:name="_Toc18077"/>
      <w:bookmarkStart w:id="54" w:name="_谈判"/>
      <w:r>
        <w:rPr>
          <w:rFonts w:hint="eastAsia"/>
          <w:lang w:val="en-US" w:eastAsia="zh-CN"/>
        </w:rPr>
        <w:t>谈判</w:t>
      </w:r>
      <w:bookmarkEnd w:id="53"/>
    </w:p>
    <w:bookmarkEnd w:id="54"/>
    <w:p w14:paraId="041A14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供应商操作，参考公开招标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"_用户登录"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8"/>
          <w:rFonts w:hint="eastAsia"/>
          <w:lang w:val="en-US" w:eastAsia="zh-CN"/>
        </w:rPr>
        <w:t>1.1 用户登录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，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"_CA操作"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8"/>
          <w:rFonts w:hint="eastAsia"/>
          <w:lang w:val="en-US" w:eastAsia="zh-CN"/>
        </w:rPr>
        <w:t>1.2 CA操作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，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"_参与项目"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8"/>
          <w:rFonts w:hint="eastAsia"/>
          <w:lang w:val="en-US" w:eastAsia="zh-CN"/>
        </w:rPr>
        <w:t>1.3 项目参与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，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"_购买文件"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8"/>
          <w:rFonts w:hint="eastAsia"/>
          <w:lang w:val="en-US" w:eastAsia="zh-CN"/>
        </w:rPr>
        <w:t>1.4购买文件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、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"_文件下载"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8"/>
          <w:rFonts w:hint="eastAsia"/>
          <w:lang w:val="en-US" w:eastAsia="zh-CN"/>
        </w:rPr>
        <w:t>1.5 文件下载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章节，依次操作。</w:t>
      </w:r>
    </w:p>
    <w:p w14:paraId="76E3FC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其中和公开招标相比不同的地方，在文件下载之后，谈判有个报价环节。</w:t>
      </w:r>
    </w:p>
    <w:p w14:paraId="0F9D6853">
      <w:pPr>
        <w:pStyle w:val="3"/>
        <w:bidi w:val="0"/>
        <w:rPr>
          <w:rFonts w:hint="default"/>
          <w:lang w:val="en-US" w:eastAsia="zh-CN"/>
        </w:rPr>
      </w:pPr>
      <w:bookmarkStart w:id="55" w:name="_Toc7663"/>
      <w:bookmarkStart w:id="56" w:name="_报价"/>
      <w:bookmarkStart w:id="57" w:name="_报价_1"/>
      <w:r>
        <w:rPr>
          <w:rFonts w:hint="eastAsia"/>
          <w:lang w:val="en-US" w:eastAsia="zh-CN"/>
        </w:rPr>
        <w:t>报价</w:t>
      </w:r>
      <w:bookmarkEnd w:id="55"/>
    </w:p>
    <w:bookmarkEnd w:id="56"/>
    <w:bookmarkEnd w:id="57"/>
    <w:p w14:paraId="23D3B7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1770" cy="1888490"/>
            <wp:effectExtent l="0" t="0" r="1270" b="1270"/>
            <wp:docPr id="7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3"/>
                    <pic:cNvPicPr>
                      <a:picLocks noChangeAspect="1"/>
                    </pic:cNvPicPr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88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863B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如果采购经理开启了又一轮报价，需要再次进行报价。</w:t>
      </w:r>
    </w:p>
    <w:p w14:paraId="6EE26B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</w:p>
    <w:p w14:paraId="08271A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 w14:paraId="4A6A6511">
      <w:pPr>
        <w:pStyle w:val="2"/>
        <w:bidi w:val="0"/>
        <w:rPr>
          <w:rFonts w:hint="eastAsia"/>
          <w:lang w:val="en-US" w:eastAsia="zh-CN"/>
        </w:rPr>
      </w:pPr>
      <w:bookmarkStart w:id="58" w:name="_Toc21321"/>
      <w:r>
        <w:rPr>
          <w:rFonts w:hint="eastAsia"/>
          <w:lang w:val="en-US" w:eastAsia="zh-CN"/>
        </w:rPr>
        <w:t>询比</w:t>
      </w:r>
      <w:bookmarkEnd w:id="58"/>
    </w:p>
    <w:p w14:paraId="4393AC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和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"_谈判"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8"/>
          <w:rFonts w:hint="eastAsia"/>
          <w:lang w:val="en-US" w:eastAsia="zh-CN"/>
        </w:rPr>
        <w:t>谈判流程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一样。</w:t>
      </w:r>
    </w:p>
    <w:p w14:paraId="093AACDA">
      <w:pPr>
        <w:pStyle w:val="2"/>
        <w:bidi w:val="0"/>
        <w:rPr>
          <w:rFonts w:hint="default"/>
          <w:lang w:val="en-US" w:eastAsia="zh-CN"/>
        </w:rPr>
      </w:pPr>
      <w:bookmarkStart w:id="59" w:name="_Toc24061"/>
      <w:r>
        <w:rPr>
          <w:rFonts w:hint="eastAsia"/>
          <w:lang w:val="en-US" w:eastAsia="zh-CN"/>
        </w:rPr>
        <w:t>直接采购</w:t>
      </w:r>
      <w:bookmarkEnd w:id="59"/>
    </w:p>
    <w:p w14:paraId="7F805F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 w14:paraId="0CB999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和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"_邀请招标"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8"/>
          <w:rFonts w:hint="eastAsia"/>
          <w:lang w:val="en-US" w:eastAsia="zh-CN"/>
        </w:rPr>
        <w:t>邀请招标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类似，不需要进行招标文件编辑，直接报价即可，报价参看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"_报价"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8"/>
          <w:rFonts w:hint="eastAsia"/>
          <w:lang w:val="en-US" w:eastAsia="zh-CN"/>
        </w:rPr>
        <w:t>4.1.报价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章节。。</w:t>
      </w:r>
    </w:p>
    <w:p w14:paraId="1E24B4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 w14:paraId="6A61C8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 w14:paraId="158081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 w14:paraId="7770B2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BA9CF5B"/>
    <w:multiLevelType w:val="multilevel"/>
    <w:tmpl w:val="2BA9CF5B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YwZmQzOWZmNzJhODc3YzRlOTNhY2Q1ODc5YTFhMzQifQ=="/>
  </w:docVars>
  <w:rsids>
    <w:rsidRoot w:val="00000000"/>
    <w:rsid w:val="00626835"/>
    <w:rsid w:val="01C26E13"/>
    <w:rsid w:val="031943B5"/>
    <w:rsid w:val="03231B33"/>
    <w:rsid w:val="08E2204D"/>
    <w:rsid w:val="093A1985"/>
    <w:rsid w:val="0D117352"/>
    <w:rsid w:val="0D1727DF"/>
    <w:rsid w:val="10BB7D32"/>
    <w:rsid w:val="152E4A94"/>
    <w:rsid w:val="16797F90"/>
    <w:rsid w:val="175B58E8"/>
    <w:rsid w:val="19C9660C"/>
    <w:rsid w:val="19F56590"/>
    <w:rsid w:val="1B974A15"/>
    <w:rsid w:val="1C4C57FF"/>
    <w:rsid w:val="1E904B62"/>
    <w:rsid w:val="21731A80"/>
    <w:rsid w:val="2322550C"/>
    <w:rsid w:val="2573204F"/>
    <w:rsid w:val="264D6D44"/>
    <w:rsid w:val="28F9286B"/>
    <w:rsid w:val="293164A9"/>
    <w:rsid w:val="2A64465C"/>
    <w:rsid w:val="2ACB0237"/>
    <w:rsid w:val="30801D2C"/>
    <w:rsid w:val="31FE12F8"/>
    <w:rsid w:val="340A72F1"/>
    <w:rsid w:val="34E940DB"/>
    <w:rsid w:val="35BC70FA"/>
    <w:rsid w:val="36F32FEF"/>
    <w:rsid w:val="39221982"/>
    <w:rsid w:val="397767D0"/>
    <w:rsid w:val="3B820D98"/>
    <w:rsid w:val="3BF770DE"/>
    <w:rsid w:val="3C6978B0"/>
    <w:rsid w:val="3E8D5AD7"/>
    <w:rsid w:val="3EB63280"/>
    <w:rsid w:val="3EF5084B"/>
    <w:rsid w:val="41D43A1D"/>
    <w:rsid w:val="421F6CEE"/>
    <w:rsid w:val="44A51087"/>
    <w:rsid w:val="45B24076"/>
    <w:rsid w:val="46995EA4"/>
    <w:rsid w:val="478A52AA"/>
    <w:rsid w:val="496B2EB9"/>
    <w:rsid w:val="4B942912"/>
    <w:rsid w:val="4BB37677"/>
    <w:rsid w:val="4E64012E"/>
    <w:rsid w:val="4E882D43"/>
    <w:rsid w:val="4F1E024E"/>
    <w:rsid w:val="50830AE8"/>
    <w:rsid w:val="524D757F"/>
    <w:rsid w:val="53DB4681"/>
    <w:rsid w:val="55547862"/>
    <w:rsid w:val="557B0928"/>
    <w:rsid w:val="5712706A"/>
    <w:rsid w:val="589A3062"/>
    <w:rsid w:val="5A783688"/>
    <w:rsid w:val="5B015EC9"/>
    <w:rsid w:val="5B087E49"/>
    <w:rsid w:val="5C166CB5"/>
    <w:rsid w:val="5C6519EA"/>
    <w:rsid w:val="5EC61C02"/>
    <w:rsid w:val="5F942C6F"/>
    <w:rsid w:val="5FC02251"/>
    <w:rsid w:val="5FF33D48"/>
    <w:rsid w:val="60B33F5D"/>
    <w:rsid w:val="61F46DA5"/>
    <w:rsid w:val="63557B4E"/>
    <w:rsid w:val="67576679"/>
    <w:rsid w:val="68BE60DA"/>
    <w:rsid w:val="6AEA7C8A"/>
    <w:rsid w:val="6E8126B3"/>
    <w:rsid w:val="70030694"/>
    <w:rsid w:val="73AA5A05"/>
    <w:rsid w:val="73BD020E"/>
    <w:rsid w:val="744B2A6E"/>
    <w:rsid w:val="753F36F1"/>
    <w:rsid w:val="7561323F"/>
    <w:rsid w:val="77F17EF6"/>
    <w:rsid w:val="78B27F53"/>
    <w:rsid w:val="78C02A6D"/>
    <w:rsid w:val="795635A2"/>
    <w:rsid w:val="7B2368A0"/>
    <w:rsid w:val="7C522A0F"/>
    <w:rsid w:val="7D0E2993"/>
    <w:rsid w:val="7D543095"/>
    <w:rsid w:val="7E4E1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semiHidden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beforeLines="0" w:beforeAutospacing="0" w:after="330" w:afterLines="0" w:afterAutospacing="0" w:line="576" w:lineRule="auto"/>
      <w:ind w:left="432" w:hanging="432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575" w:hanging="575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link w:val="19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720" w:hanging="720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7">
    <w:name w:val="heading 6"/>
    <w:basedOn w:val="1"/>
    <w:next w:val="1"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6">
    <w:name w:val="Default Paragraph Font"/>
    <w:semiHidden/>
    <w:qFormat/>
    <w:uiPriority w:val="0"/>
  </w:style>
  <w:style w:type="table" w:default="1" w:styleId="1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3"/>
    <w:basedOn w:val="1"/>
    <w:next w:val="1"/>
    <w:qFormat/>
    <w:uiPriority w:val="0"/>
    <w:pPr>
      <w:ind w:left="840" w:leftChars="400"/>
    </w:pPr>
  </w:style>
  <w:style w:type="paragraph" w:styleId="12">
    <w:name w:val="toc 1"/>
    <w:basedOn w:val="1"/>
    <w:next w:val="1"/>
    <w:qFormat/>
    <w:uiPriority w:val="0"/>
  </w:style>
  <w:style w:type="paragraph" w:styleId="13">
    <w:name w:val="toc 2"/>
    <w:basedOn w:val="1"/>
    <w:next w:val="1"/>
    <w:qFormat/>
    <w:uiPriority w:val="0"/>
    <w:pPr>
      <w:ind w:left="420" w:leftChars="200"/>
    </w:pPr>
  </w:style>
  <w:style w:type="paragraph" w:styleId="14">
    <w:name w:val="Body Text 2"/>
    <w:basedOn w:val="1"/>
    <w:qFormat/>
    <w:uiPriority w:val="0"/>
    <w:pPr>
      <w:widowControl/>
      <w:jc w:val="left"/>
    </w:pPr>
    <w:rPr>
      <w:rFonts w:ascii="宋体" w:hAnsi="Times New Roman" w:eastAsia="宋体" w:cs="Times New Roman"/>
      <w:kern w:val="0"/>
      <w:sz w:val="28"/>
      <w:szCs w:val="20"/>
    </w:rPr>
  </w:style>
  <w:style w:type="character" w:styleId="17">
    <w:name w:val="FollowedHyperlink"/>
    <w:basedOn w:val="16"/>
    <w:qFormat/>
    <w:uiPriority w:val="0"/>
    <w:rPr>
      <w:color w:val="800080"/>
      <w:u w:val="single"/>
    </w:rPr>
  </w:style>
  <w:style w:type="character" w:styleId="18">
    <w:name w:val="Hyperlink"/>
    <w:basedOn w:val="16"/>
    <w:qFormat/>
    <w:uiPriority w:val="0"/>
    <w:rPr>
      <w:color w:val="0000FF"/>
      <w:u w:val="single"/>
    </w:rPr>
  </w:style>
  <w:style w:type="character" w:customStyle="1" w:styleId="19">
    <w:name w:val="标题 3 Char"/>
    <w:link w:val="4"/>
    <w:qFormat/>
    <w:uiPriority w:val="0"/>
    <w:rPr>
      <w:b/>
      <w:sz w:val="32"/>
    </w:rPr>
  </w:style>
  <w:style w:type="paragraph" w:customStyle="1" w:styleId="20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21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22">
    <w:name w:val="WPSOffice手动目录 3"/>
    <w:qFormat/>
    <w:uiPriority w:val="0"/>
    <w:pPr>
      <w:ind w:leftChars="40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96.png"/><Relationship Id="rId98" Type="http://schemas.openxmlformats.org/officeDocument/2006/relationships/image" Target="media/image95.png"/><Relationship Id="rId97" Type="http://schemas.openxmlformats.org/officeDocument/2006/relationships/image" Target="media/image94.png"/><Relationship Id="rId96" Type="http://schemas.openxmlformats.org/officeDocument/2006/relationships/image" Target="media/image93.png"/><Relationship Id="rId95" Type="http://schemas.openxmlformats.org/officeDocument/2006/relationships/image" Target="media/image92.png"/><Relationship Id="rId94" Type="http://schemas.openxmlformats.org/officeDocument/2006/relationships/image" Target="media/image91.png"/><Relationship Id="rId93" Type="http://schemas.openxmlformats.org/officeDocument/2006/relationships/image" Target="media/image90.png"/><Relationship Id="rId92" Type="http://schemas.openxmlformats.org/officeDocument/2006/relationships/image" Target="media/image89.png"/><Relationship Id="rId91" Type="http://schemas.openxmlformats.org/officeDocument/2006/relationships/image" Target="media/image88.png"/><Relationship Id="rId90" Type="http://schemas.openxmlformats.org/officeDocument/2006/relationships/image" Target="media/image87.png"/><Relationship Id="rId9" Type="http://schemas.openxmlformats.org/officeDocument/2006/relationships/image" Target="media/image6.png"/><Relationship Id="rId89" Type="http://schemas.openxmlformats.org/officeDocument/2006/relationships/image" Target="media/image86.png"/><Relationship Id="rId88" Type="http://schemas.openxmlformats.org/officeDocument/2006/relationships/image" Target="media/image85.png"/><Relationship Id="rId87" Type="http://schemas.openxmlformats.org/officeDocument/2006/relationships/image" Target="media/image84.png"/><Relationship Id="rId86" Type="http://schemas.openxmlformats.org/officeDocument/2006/relationships/image" Target="media/image83.png"/><Relationship Id="rId85" Type="http://schemas.openxmlformats.org/officeDocument/2006/relationships/image" Target="media/image82.png"/><Relationship Id="rId84" Type="http://schemas.openxmlformats.org/officeDocument/2006/relationships/image" Target="media/image81.png"/><Relationship Id="rId83" Type="http://schemas.openxmlformats.org/officeDocument/2006/relationships/image" Target="media/image80.png"/><Relationship Id="rId82" Type="http://schemas.openxmlformats.org/officeDocument/2006/relationships/image" Target="media/image79.png"/><Relationship Id="rId81" Type="http://schemas.openxmlformats.org/officeDocument/2006/relationships/image" Target="media/image78.png"/><Relationship Id="rId80" Type="http://schemas.openxmlformats.org/officeDocument/2006/relationships/image" Target="media/image77.png"/><Relationship Id="rId8" Type="http://schemas.openxmlformats.org/officeDocument/2006/relationships/image" Target="media/image5.png"/><Relationship Id="rId79" Type="http://schemas.openxmlformats.org/officeDocument/2006/relationships/image" Target="media/image76.png"/><Relationship Id="rId78" Type="http://schemas.openxmlformats.org/officeDocument/2006/relationships/image" Target="media/image75.png"/><Relationship Id="rId77" Type="http://schemas.openxmlformats.org/officeDocument/2006/relationships/image" Target="media/image74.png"/><Relationship Id="rId76" Type="http://schemas.openxmlformats.org/officeDocument/2006/relationships/image" Target="media/image73.png"/><Relationship Id="rId75" Type="http://schemas.openxmlformats.org/officeDocument/2006/relationships/image" Target="media/image72.png"/><Relationship Id="rId74" Type="http://schemas.openxmlformats.org/officeDocument/2006/relationships/image" Target="media/image71.png"/><Relationship Id="rId73" Type="http://schemas.openxmlformats.org/officeDocument/2006/relationships/image" Target="media/image70.png"/><Relationship Id="rId72" Type="http://schemas.openxmlformats.org/officeDocument/2006/relationships/image" Target="media/image69.png"/><Relationship Id="rId71" Type="http://schemas.openxmlformats.org/officeDocument/2006/relationships/image" Target="media/image68.png"/><Relationship Id="rId70" Type="http://schemas.openxmlformats.org/officeDocument/2006/relationships/image" Target="media/image67.png"/><Relationship Id="rId7" Type="http://schemas.openxmlformats.org/officeDocument/2006/relationships/image" Target="media/image4.png"/><Relationship Id="rId69" Type="http://schemas.openxmlformats.org/officeDocument/2006/relationships/image" Target="media/image66.png"/><Relationship Id="rId68" Type="http://schemas.openxmlformats.org/officeDocument/2006/relationships/image" Target="media/image65.png"/><Relationship Id="rId67" Type="http://schemas.openxmlformats.org/officeDocument/2006/relationships/image" Target="media/image64.png"/><Relationship Id="rId66" Type="http://schemas.openxmlformats.org/officeDocument/2006/relationships/image" Target="media/image63.png"/><Relationship Id="rId65" Type="http://schemas.openxmlformats.org/officeDocument/2006/relationships/image" Target="media/image62.png"/><Relationship Id="rId64" Type="http://schemas.openxmlformats.org/officeDocument/2006/relationships/image" Target="media/image61.png"/><Relationship Id="rId63" Type="http://schemas.openxmlformats.org/officeDocument/2006/relationships/image" Target="media/image60.png"/><Relationship Id="rId62" Type="http://schemas.openxmlformats.org/officeDocument/2006/relationships/image" Target="media/image59.png"/><Relationship Id="rId61" Type="http://schemas.openxmlformats.org/officeDocument/2006/relationships/image" Target="media/image58.png"/><Relationship Id="rId60" Type="http://schemas.openxmlformats.org/officeDocument/2006/relationships/image" Target="media/image57.png"/><Relationship Id="rId6" Type="http://schemas.openxmlformats.org/officeDocument/2006/relationships/image" Target="media/image3.png"/><Relationship Id="rId59" Type="http://schemas.openxmlformats.org/officeDocument/2006/relationships/image" Target="media/image56.png"/><Relationship Id="rId58" Type="http://schemas.openxmlformats.org/officeDocument/2006/relationships/image" Target="media/image55.png"/><Relationship Id="rId57" Type="http://schemas.openxmlformats.org/officeDocument/2006/relationships/image" Target="media/image54.png"/><Relationship Id="rId56" Type="http://schemas.openxmlformats.org/officeDocument/2006/relationships/image" Target="media/image53.png"/><Relationship Id="rId55" Type="http://schemas.openxmlformats.org/officeDocument/2006/relationships/image" Target="media/image52.png"/><Relationship Id="rId54" Type="http://schemas.openxmlformats.org/officeDocument/2006/relationships/image" Target="media/image51.png"/><Relationship Id="rId53" Type="http://schemas.openxmlformats.org/officeDocument/2006/relationships/image" Target="media/image50.png"/><Relationship Id="rId52" Type="http://schemas.openxmlformats.org/officeDocument/2006/relationships/image" Target="media/image49.png"/><Relationship Id="rId51" Type="http://schemas.openxmlformats.org/officeDocument/2006/relationships/image" Target="media/image48.png"/><Relationship Id="rId50" Type="http://schemas.openxmlformats.org/officeDocument/2006/relationships/image" Target="media/image47.png"/><Relationship Id="rId5" Type="http://schemas.openxmlformats.org/officeDocument/2006/relationships/image" Target="media/image2.png"/><Relationship Id="rId49" Type="http://schemas.openxmlformats.org/officeDocument/2006/relationships/image" Target="media/image46.png"/><Relationship Id="rId48" Type="http://schemas.openxmlformats.org/officeDocument/2006/relationships/image" Target="media/image45.png"/><Relationship Id="rId47" Type="http://schemas.openxmlformats.org/officeDocument/2006/relationships/image" Target="media/image44.png"/><Relationship Id="rId46" Type="http://schemas.openxmlformats.org/officeDocument/2006/relationships/image" Target="media/image43.png"/><Relationship Id="rId45" Type="http://schemas.openxmlformats.org/officeDocument/2006/relationships/image" Target="media/image42.png"/><Relationship Id="rId44" Type="http://schemas.openxmlformats.org/officeDocument/2006/relationships/image" Target="media/image41.png"/><Relationship Id="rId43" Type="http://schemas.openxmlformats.org/officeDocument/2006/relationships/image" Target="media/image40.png"/><Relationship Id="rId42" Type="http://schemas.openxmlformats.org/officeDocument/2006/relationships/image" Target="media/image39.png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image" Target="media/image1.png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1" Type="http://schemas.openxmlformats.org/officeDocument/2006/relationships/fontTable" Target="fontTable.xml"/><Relationship Id="rId110" Type="http://schemas.openxmlformats.org/officeDocument/2006/relationships/numbering" Target="numbering.xml"/><Relationship Id="rId11" Type="http://schemas.openxmlformats.org/officeDocument/2006/relationships/image" Target="media/image8.png"/><Relationship Id="rId109" Type="http://schemas.openxmlformats.org/officeDocument/2006/relationships/image" Target="media/image106.png"/><Relationship Id="rId108" Type="http://schemas.openxmlformats.org/officeDocument/2006/relationships/image" Target="media/image105.png"/><Relationship Id="rId107" Type="http://schemas.openxmlformats.org/officeDocument/2006/relationships/image" Target="media/image104.png"/><Relationship Id="rId106" Type="http://schemas.openxmlformats.org/officeDocument/2006/relationships/image" Target="media/image103.png"/><Relationship Id="rId105" Type="http://schemas.openxmlformats.org/officeDocument/2006/relationships/image" Target="media/image102.png"/><Relationship Id="rId104" Type="http://schemas.openxmlformats.org/officeDocument/2006/relationships/image" Target="media/image101.png"/><Relationship Id="rId103" Type="http://schemas.openxmlformats.org/officeDocument/2006/relationships/image" Target="media/image100.png"/><Relationship Id="rId102" Type="http://schemas.openxmlformats.org/officeDocument/2006/relationships/image" Target="media/image99.png"/><Relationship Id="rId101" Type="http://schemas.openxmlformats.org/officeDocument/2006/relationships/image" Target="media/image98.png"/><Relationship Id="rId100" Type="http://schemas.openxmlformats.org/officeDocument/2006/relationships/image" Target="media/image97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56</Pages>
  <Words>3866</Words>
  <Characters>4367</Characters>
  <Lines>0</Lines>
  <Paragraphs>0</Paragraphs>
  <TotalTime>7</TotalTime>
  <ScaleCrop>false</ScaleCrop>
  <LinksUpToDate>false</LinksUpToDate>
  <CharactersWithSpaces>4573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2024-09-25T12:42:00Z</dcterms:created>
  <dc:creator>P16</dc:creator>
  <cp:lastModifiedBy>Ywen</cp:lastModifiedBy>
  <dcterms:modified xsi:type="dcterms:W3CDTF">2025-04-13T02:25:26Z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F097875CA75C42E2B3DC12AA39A5ECEE_12</vt:lpwstr>
  </property>
  <property fmtid="{D5CDD505-2E9C-101B-9397-08002B2CF9AE}" pid="4" name="KSOTemplateDocerSaveRecord">
    <vt:lpwstr>eyJoZGlkIjoiNDYwZmQzOWZmNzJhODc3YzRlOTNhY2Q1ODc5YTFhMzQiLCJ1c2VySWQiOiIyMDkxMzc5NCJ9</vt:lpwstr>
  </property>
</Properties>
</file>